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4B25F">
      <w:pPr>
        <w:spacing w:line="360" w:lineRule="auto"/>
        <w:jc w:val="center"/>
        <w:rPr>
          <w:rFonts w:eastAsia="华文中宋"/>
          <w:sz w:val="40"/>
        </w:rPr>
      </w:pPr>
    </w:p>
    <w:p w14:paraId="4771BB48">
      <w:pPr>
        <w:spacing w:line="360" w:lineRule="auto"/>
        <w:jc w:val="center"/>
        <w:rPr>
          <w:rFonts w:eastAsia="华文中宋"/>
          <w:sz w:val="40"/>
        </w:rPr>
      </w:pPr>
      <w:r>
        <w:rPr>
          <w:rFonts w:eastAsia="华文中宋"/>
          <w:sz w:val="40"/>
        </w:rPr>
        <w:tab/>
      </w:r>
    </w:p>
    <w:p w14:paraId="76C93F51">
      <w:pPr>
        <w:pStyle w:val="9"/>
        <w:ind w:left="1260"/>
      </w:pPr>
    </w:p>
    <w:p w14:paraId="3A621DAE"/>
    <w:p w14:paraId="59082F19"/>
    <w:p w14:paraId="227F5281">
      <w:pPr>
        <w:spacing w:line="360" w:lineRule="auto"/>
        <w:jc w:val="center"/>
        <w:rPr>
          <w:rFonts w:eastAsia="黑体"/>
          <w:b/>
          <w:bCs/>
          <w:sz w:val="52"/>
          <w:szCs w:val="36"/>
        </w:rPr>
      </w:pPr>
      <w:r>
        <w:rPr>
          <w:rFonts w:eastAsia="黑体"/>
          <w:b/>
          <w:bCs/>
          <w:sz w:val="52"/>
          <w:szCs w:val="36"/>
        </w:rPr>
        <w:t>南京市疾控中心</w:t>
      </w:r>
    </w:p>
    <w:p w14:paraId="0D4F9AC2">
      <w:pPr>
        <w:spacing w:line="360" w:lineRule="auto"/>
        <w:jc w:val="center"/>
        <w:rPr>
          <w:sz w:val="44"/>
          <w:szCs w:val="28"/>
        </w:rPr>
      </w:pPr>
      <w:r>
        <w:rPr>
          <w:rFonts w:hint="eastAsia" w:eastAsia="黑体"/>
          <w:b/>
          <w:bCs/>
          <w:sz w:val="52"/>
          <w:szCs w:val="36"/>
        </w:rPr>
        <w:t>慢性病相关采集数据处理服务</w:t>
      </w:r>
    </w:p>
    <w:p w14:paraId="68BEFE6C">
      <w:pPr>
        <w:spacing w:line="360" w:lineRule="auto"/>
        <w:jc w:val="center"/>
        <w:rPr>
          <w:sz w:val="28"/>
          <w:szCs w:val="28"/>
        </w:rPr>
      </w:pPr>
    </w:p>
    <w:p w14:paraId="78FCADD7">
      <w:pPr>
        <w:spacing w:line="360" w:lineRule="auto"/>
        <w:jc w:val="center"/>
        <w:rPr>
          <w:sz w:val="24"/>
        </w:rPr>
      </w:pPr>
    </w:p>
    <w:p w14:paraId="7920082F">
      <w:pPr>
        <w:spacing w:line="360" w:lineRule="auto"/>
        <w:rPr>
          <w:sz w:val="24"/>
        </w:rPr>
      </w:pPr>
    </w:p>
    <w:p w14:paraId="55A5ABAF">
      <w:pPr>
        <w:spacing w:line="360" w:lineRule="auto"/>
        <w:jc w:val="center"/>
        <w:rPr>
          <w:sz w:val="24"/>
        </w:rPr>
      </w:pPr>
    </w:p>
    <w:p w14:paraId="6740C986">
      <w:pPr>
        <w:pStyle w:val="8"/>
        <w:rPr>
          <w:sz w:val="24"/>
        </w:rPr>
      </w:pPr>
    </w:p>
    <w:p w14:paraId="3165BA45">
      <w:pPr>
        <w:pStyle w:val="8"/>
        <w:rPr>
          <w:sz w:val="24"/>
        </w:rPr>
      </w:pPr>
    </w:p>
    <w:p w14:paraId="4C060E56">
      <w:pPr>
        <w:spacing w:line="360" w:lineRule="auto"/>
        <w:jc w:val="center"/>
        <w:rPr>
          <w:sz w:val="24"/>
        </w:rPr>
      </w:pPr>
    </w:p>
    <w:p w14:paraId="2B222511">
      <w:pPr>
        <w:spacing w:line="360" w:lineRule="auto"/>
        <w:jc w:val="center"/>
        <w:rPr>
          <w:sz w:val="24"/>
        </w:rPr>
      </w:pPr>
    </w:p>
    <w:p w14:paraId="16D8C053">
      <w:pPr>
        <w:spacing w:line="360" w:lineRule="auto"/>
        <w:jc w:val="center"/>
        <w:rPr>
          <w:sz w:val="28"/>
          <w:szCs w:val="28"/>
        </w:rPr>
      </w:pPr>
    </w:p>
    <w:p w14:paraId="62927AB0">
      <w:pPr>
        <w:spacing w:line="360" w:lineRule="auto"/>
        <w:jc w:val="center"/>
        <w:rPr>
          <w:sz w:val="36"/>
          <w:szCs w:val="36"/>
        </w:rPr>
      </w:pPr>
      <w:r>
        <w:rPr>
          <w:sz w:val="36"/>
          <w:szCs w:val="36"/>
        </w:rPr>
        <w:t>中心内部采购文件</w:t>
      </w:r>
    </w:p>
    <w:p w14:paraId="04572783">
      <w:pPr>
        <w:spacing w:line="360" w:lineRule="auto"/>
        <w:jc w:val="center"/>
        <w:rPr>
          <w:sz w:val="36"/>
          <w:szCs w:val="36"/>
        </w:rPr>
      </w:pPr>
    </w:p>
    <w:p w14:paraId="5B1C0122">
      <w:pPr>
        <w:spacing w:line="360" w:lineRule="auto"/>
        <w:jc w:val="center"/>
        <w:rPr>
          <w:sz w:val="36"/>
          <w:szCs w:val="36"/>
        </w:rPr>
      </w:pPr>
    </w:p>
    <w:p w14:paraId="1E37A5FA">
      <w:pPr>
        <w:spacing w:line="360" w:lineRule="auto"/>
        <w:rPr>
          <w:sz w:val="32"/>
          <w:szCs w:val="24"/>
        </w:rPr>
      </w:pPr>
    </w:p>
    <w:p w14:paraId="0F0F342D">
      <w:pPr>
        <w:spacing w:line="360" w:lineRule="auto"/>
        <w:jc w:val="center"/>
        <w:rPr>
          <w:sz w:val="36"/>
          <w:szCs w:val="36"/>
        </w:rPr>
      </w:pPr>
      <w:r>
        <w:rPr>
          <w:sz w:val="36"/>
          <w:szCs w:val="36"/>
        </w:rPr>
        <w:t>南京市疾病预防控制中心</w:t>
      </w:r>
    </w:p>
    <w:p w14:paraId="73B0D022">
      <w:pPr>
        <w:spacing w:line="360" w:lineRule="auto"/>
        <w:jc w:val="center"/>
        <w:rPr>
          <w:sz w:val="36"/>
          <w:szCs w:val="36"/>
        </w:rPr>
      </w:pPr>
      <w:r>
        <w:rPr>
          <w:sz w:val="36"/>
          <w:szCs w:val="36"/>
        </w:rPr>
        <w:t>202</w:t>
      </w:r>
      <w:r>
        <w:rPr>
          <w:rFonts w:hint="eastAsia"/>
          <w:sz w:val="36"/>
          <w:szCs w:val="36"/>
        </w:rPr>
        <w:t>5</w:t>
      </w:r>
      <w:r>
        <w:rPr>
          <w:sz w:val="36"/>
          <w:szCs w:val="36"/>
        </w:rPr>
        <w:t>年</w:t>
      </w:r>
      <w:r>
        <w:rPr>
          <w:rFonts w:hint="eastAsia"/>
          <w:sz w:val="36"/>
          <w:szCs w:val="36"/>
          <w:lang w:val="en-US" w:eastAsia="zh-CN"/>
        </w:rPr>
        <w:t>8</w:t>
      </w:r>
      <w:r>
        <w:rPr>
          <w:sz w:val="36"/>
          <w:szCs w:val="36"/>
        </w:rPr>
        <w:t>月</w:t>
      </w:r>
      <w:r>
        <w:rPr>
          <w:rFonts w:hint="eastAsia"/>
          <w:sz w:val="36"/>
          <w:szCs w:val="36"/>
          <w:lang w:val="en-US" w:eastAsia="zh-CN"/>
        </w:rPr>
        <w:t>12</w:t>
      </w:r>
      <w:r>
        <w:rPr>
          <w:sz w:val="36"/>
          <w:szCs w:val="36"/>
        </w:rPr>
        <w:t>日</w:t>
      </w:r>
    </w:p>
    <w:p w14:paraId="390A769B">
      <w:pPr>
        <w:spacing w:line="520" w:lineRule="exact"/>
        <w:jc w:val="left"/>
        <w:rPr>
          <w:sz w:val="32"/>
          <w:szCs w:val="32"/>
        </w:rPr>
      </w:pPr>
    </w:p>
    <w:p w14:paraId="1E9D598D">
      <w:pPr>
        <w:pStyle w:val="2"/>
        <w:tabs>
          <w:tab w:val="left" w:pos="0"/>
          <w:tab w:val="left" w:pos="3165"/>
          <w:tab w:val="center" w:pos="4153"/>
        </w:tabs>
        <w:autoSpaceDE w:val="0"/>
        <w:autoSpaceDN w:val="0"/>
        <w:adjustRightInd w:val="0"/>
        <w:spacing w:before="0" w:after="0" w:line="360" w:lineRule="auto"/>
        <w:jc w:val="center"/>
        <w:rPr>
          <w:rFonts w:eastAsia="华文中宋"/>
          <w:sz w:val="32"/>
        </w:rPr>
      </w:pPr>
      <w:r>
        <w:rPr>
          <w:rFonts w:eastAsia="华文中宋"/>
          <w:sz w:val="32"/>
        </w:rPr>
        <w:t>第一章    采购公告</w:t>
      </w:r>
    </w:p>
    <w:p w14:paraId="7CBF21E5">
      <w:pPr>
        <w:spacing w:line="520" w:lineRule="exact"/>
        <w:ind w:firstLine="480" w:firstLineChars="200"/>
        <w:jc w:val="left"/>
        <w:rPr>
          <w:rFonts w:eastAsia="仿宋"/>
          <w:sz w:val="24"/>
          <w:szCs w:val="28"/>
        </w:rPr>
      </w:pPr>
      <w:r>
        <w:rPr>
          <w:rFonts w:eastAsia="仿宋"/>
          <w:sz w:val="24"/>
          <w:szCs w:val="28"/>
        </w:rPr>
        <w:t>南京市疾病预防控制中心就</w:t>
      </w:r>
      <w:r>
        <w:rPr>
          <w:rFonts w:hint="eastAsia" w:eastAsia="仿宋"/>
          <w:sz w:val="24"/>
          <w:szCs w:val="28"/>
        </w:rPr>
        <w:t>慢性病相关采集数据处理服务</w:t>
      </w:r>
      <w:r>
        <w:rPr>
          <w:rFonts w:eastAsia="仿宋"/>
          <w:sz w:val="24"/>
          <w:szCs w:val="28"/>
        </w:rPr>
        <w:t>开展中心内部采购，本服务以符合要求，通过综合评定方法确认，详见评分标准附表。欢迎符合资格条件的供应商参加。</w:t>
      </w:r>
    </w:p>
    <w:p w14:paraId="207C1884">
      <w:pPr>
        <w:pStyle w:val="2"/>
        <w:tabs>
          <w:tab w:val="left" w:pos="0"/>
          <w:tab w:val="left" w:pos="3165"/>
          <w:tab w:val="center" w:pos="4153"/>
        </w:tabs>
        <w:autoSpaceDE w:val="0"/>
        <w:autoSpaceDN w:val="0"/>
        <w:adjustRightInd w:val="0"/>
        <w:spacing w:before="0" w:after="0" w:line="360" w:lineRule="auto"/>
        <w:jc w:val="center"/>
        <w:rPr>
          <w:rFonts w:eastAsia="华文中宋"/>
          <w:sz w:val="32"/>
        </w:rPr>
      </w:pPr>
      <w:bookmarkStart w:id="0" w:name="_Toc35393789"/>
      <w:bookmarkStart w:id="1" w:name="_Toc28359001"/>
      <w:r>
        <w:rPr>
          <w:rFonts w:eastAsia="华文中宋"/>
          <w:sz w:val="32"/>
        </w:rPr>
        <w:t>采购公告</w:t>
      </w:r>
      <w:bookmarkEnd w:id="0"/>
      <w:bookmarkEnd w:id="1"/>
    </w:p>
    <w:p w14:paraId="59F0975C">
      <w:pPr>
        <w:pBdr>
          <w:top w:val="single" w:color="auto" w:sz="4" w:space="1"/>
          <w:left w:val="single" w:color="auto" w:sz="4" w:space="4"/>
          <w:bottom w:val="single" w:color="auto" w:sz="4" w:space="1"/>
          <w:right w:val="single" w:color="auto" w:sz="4" w:space="4"/>
        </w:pBdr>
        <w:rPr>
          <w:rFonts w:eastAsia="仿宋"/>
          <w:sz w:val="24"/>
          <w:szCs w:val="28"/>
        </w:rPr>
      </w:pPr>
      <w:r>
        <w:rPr>
          <w:rFonts w:eastAsia="仿宋"/>
          <w:sz w:val="24"/>
          <w:szCs w:val="28"/>
        </w:rPr>
        <w:t>服务概况</w:t>
      </w:r>
    </w:p>
    <w:p w14:paraId="44A1C03E">
      <w:pPr>
        <w:pBdr>
          <w:top w:val="single" w:color="auto" w:sz="4" w:space="1"/>
          <w:left w:val="single" w:color="auto" w:sz="4" w:space="4"/>
          <w:bottom w:val="single" w:color="auto" w:sz="4" w:space="1"/>
          <w:right w:val="single" w:color="auto" w:sz="4" w:space="4"/>
        </w:pBdr>
        <w:ind w:firstLine="480" w:firstLineChars="200"/>
        <w:rPr>
          <w:rFonts w:eastAsia="仿宋"/>
          <w:color w:val="000000" w:themeColor="text1"/>
          <w:sz w:val="24"/>
          <w:szCs w:val="28"/>
          <w14:textFill>
            <w14:solidFill>
              <w14:schemeClr w14:val="tx1"/>
            </w14:solidFill>
          </w14:textFill>
        </w:rPr>
      </w:pPr>
      <w:r>
        <w:rPr>
          <w:rFonts w:hint="eastAsia" w:eastAsia="仿宋"/>
          <w:sz w:val="24"/>
          <w:szCs w:val="28"/>
        </w:rPr>
        <w:t>慢性病相关采集数据处理服务</w:t>
      </w:r>
      <w:r>
        <w:rPr>
          <w:rFonts w:eastAsia="仿宋"/>
          <w:sz w:val="24"/>
          <w:szCs w:val="28"/>
        </w:rPr>
        <w:t>招标的潜在投标人应在</w:t>
      </w:r>
      <w:r>
        <w:rPr>
          <w:rFonts w:eastAsia="仿宋"/>
          <w:sz w:val="24"/>
          <w:szCs w:val="28"/>
          <w:u w:val="single"/>
        </w:rPr>
        <w:t>南京市疾控中心官方网站</w:t>
      </w:r>
      <w:r>
        <w:rPr>
          <w:rFonts w:eastAsia="仿宋"/>
          <w:sz w:val="24"/>
          <w:szCs w:val="28"/>
        </w:rPr>
        <w:t>获取招标文件，并</w:t>
      </w:r>
      <w:r>
        <w:rPr>
          <w:rFonts w:eastAsia="仿宋"/>
          <w:color w:val="000000" w:themeColor="text1"/>
          <w:sz w:val="24"/>
          <w:szCs w:val="28"/>
          <w14:textFill>
            <w14:solidFill>
              <w14:schemeClr w14:val="tx1"/>
            </w14:solidFill>
          </w14:textFill>
        </w:rPr>
        <w:t>于</w:t>
      </w:r>
      <w:r>
        <w:rPr>
          <w:rFonts w:eastAsia="仿宋"/>
          <w:color w:val="000000" w:themeColor="text1"/>
          <w:sz w:val="24"/>
          <w:szCs w:val="28"/>
          <w:u w:val="single"/>
          <w14:textFill>
            <w14:solidFill>
              <w14:schemeClr w14:val="tx1"/>
            </w14:solidFill>
          </w14:textFill>
        </w:rPr>
        <w:t>202</w:t>
      </w:r>
      <w:r>
        <w:rPr>
          <w:rFonts w:hint="eastAsia" w:eastAsia="仿宋"/>
          <w:color w:val="000000" w:themeColor="text1"/>
          <w:sz w:val="24"/>
          <w:szCs w:val="28"/>
          <w:u w:val="single"/>
          <w14:textFill>
            <w14:solidFill>
              <w14:schemeClr w14:val="tx1"/>
            </w14:solidFill>
          </w14:textFill>
        </w:rPr>
        <w:t>5</w:t>
      </w:r>
      <w:r>
        <w:rPr>
          <w:rFonts w:eastAsia="仿宋"/>
          <w:color w:val="000000" w:themeColor="text1"/>
          <w:sz w:val="24"/>
          <w:szCs w:val="28"/>
          <w14:textFill>
            <w14:solidFill>
              <w14:schemeClr w14:val="tx1"/>
            </w14:solidFill>
          </w14:textFill>
        </w:rPr>
        <w:t>年</w:t>
      </w:r>
      <w:r>
        <w:rPr>
          <w:rFonts w:hint="eastAsia" w:eastAsia="仿宋"/>
          <w:color w:val="000000" w:themeColor="text1"/>
          <w:sz w:val="24"/>
          <w:szCs w:val="28"/>
          <w:u w:val="single"/>
          <w:lang w:val="en-US" w:eastAsia="zh-CN"/>
          <w14:textFill>
            <w14:solidFill>
              <w14:schemeClr w14:val="tx1"/>
            </w14:solidFill>
          </w14:textFill>
        </w:rPr>
        <w:t>8</w:t>
      </w:r>
      <w:r>
        <w:rPr>
          <w:rFonts w:eastAsia="仿宋"/>
          <w:bCs/>
          <w:color w:val="000000" w:themeColor="text1"/>
          <w:sz w:val="24"/>
          <w:szCs w:val="28"/>
          <w14:textFill>
            <w14:solidFill>
              <w14:schemeClr w14:val="tx1"/>
            </w14:solidFill>
          </w14:textFill>
        </w:rPr>
        <w:t>月</w:t>
      </w:r>
      <w:r>
        <w:rPr>
          <w:rFonts w:hint="eastAsia" w:eastAsia="仿宋"/>
          <w:bCs/>
          <w:color w:val="000000" w:themeColor="text1"/>
          <w:sz w:val="24"/>
          <w:szCs w:val="28"/>
          <w:u w:val="single"/>
          <w:lang w:val="en-US" w:eastAsia="zh-CN"/>
          <w14:textFill>
            <w14:solidFill>
              <w14:schemeClr w14:val="tx1"/>
            </w14:solidFill>
          </w14:textFill>
        </w:rPr>
        <w:t>21</w:t>
      </w:r>
      <w:r>
        <w:rPr>
          <w:rFonts w:eastAsia="仿宋"/>
          <w:bCs/>
          <w:color w:val="000000" w:themeColor="text1"/>
          <w:sz w:val="24"/>
          <w:szCs w:val="28"/>
          <w14:textFill>
            <w14:solidFill>
              <w14:schemeClr w14:val="tx1"/>
            </w14:solidFill>
          </w14:textFill>
        </w:rPr>
        <w:t>日</w:t>
      </w:r>
      <w:r>
        <w:rPr>
          <w:rFonts w:hint="eastAsia" w:eastAsia="仿宋"/>
          <w:bCs/>
          <w:color w:val="000000" w:themeColor="text1"/>
          <w:sz w:val="24"/>
          <w:szCs w:val="28"/>
          <w:u w:val="single"/>
          <w:lang w:val="en-US" w:eastAsia="zh-CN"/>
          <w14:textFill>
            <w14:solidFill>
              <w14:schemeClr w14:val="tx1"/>
            </w14:solidFill>
          </w14:textFill>
        </w:rPr>
        <w:t>14</w:t>
      </w:r>
      <w:r>
        <w:rPr>
          <w:rFonts w:eastAsia="仿宋"/>
          <w:bCs/>
          <w:color w:val="000000" w:themeColor="text1"/>
          <w:sz w:val="24"/>
          <w:szCs w:val="28"/>
          <w14:textFill>
            <w14:solidFill>
              <w14:schemeClr w14:val="tx1"/>
            </w14:solidFill>
          </w14:textFill>
        </w:rPr>
        <w:t>点</w:t>
      </w:r>
      <w:r>
        <w:rPr>
          <w:rFonts w:hint="eastAsia" w:eastAsia="仿宋"/>
          <w:bCs/>
          <w:color w:val="000000" w:themeColor="text1"/>
          <w:sz w:val="24"/>
          <w:szCs w:val="28"/>
          <w:u w:val="single"/>
          <w:lang w:val="en-US" w:eastAsia="zh-CN"/>
          <w14:textFill>
            <w14:solidFill>
              <w14:schemeClr w14:val="tx1"/>
            </w14:solidFill>
          </w14:textFill>
        </w:rPr>
        <w:t>30</w:t>
      </w:r>
      <w:r>
        <w:rPr>
          <w:rFonts w:eastAsia="仿宋"/>
          <w:bCs/>
          <w:color w:val="000000" w:themeColor="text1"/>
          <w:sz w:val="24"/>
          <w:szCs w:val="28"/>
          <w14:textFill>
            <w14:solidFill>
              <w14:schemeClr w14:val="tx1"/>
            </w14:solidFill>
          </w14:textFill>
        </w:rPr>
        <w:t>分（北京时间）前递交投标文件</w:t>
      </w:r>
      <w:r>
        <w:rPr>
          <w:rFonts w:eastAsia="仿宋"/>
          <w:color w:val="000000" w:themeColor="text1"/>
          <w:sz w:val="24"/>
          <w:szCs w:val="28"/>
          <w14:textFill>
            <w14:solidFill>
              <w14:schemeClr w14:val="tx1"/>
            </w14:solidFill>
          </w14:textFill>
        </w:rPr>
        <w:t>。</w:t>
      </w:r>
    </w:p>
    <w:p w14:paraId="15B3A9A2">
      <w:pPr>
        <w:rPr>
          <w:color w:val="000000" w:themeColor="text1"/>
          <w:sz w:val="24"/>
          <w:szCs w:val="28"/>
          <w14:textFill>
            <w14:solidFill>
              <w14:schemeClr w14:val="tx1"/>
            </w14:solidFill>
          </w14:textFill>
        </w:rPr>
      </w:pPr>
    </w:p>
    <w:p w14:paraId="52376C39">
      <w:pPr>
        <w:pStyle w:val="3"/>
        <w:spacing w:line="360" w:lineRule="auto"/>
        <w:rPr>
          <w:rFonts w:ascii="Times New Roman" w:hAnsi="Times New Roman" w:cs="Times New Roman"/>
          <w:b w:val="0"/>
          <w:color w:val="000000" w:themeColor="text1"/>
          <w:sz w:val="24"/>
          <w:szCs w:val="28"/>
          <w14:textFill>
            <w14:solidFill>
              <w14:schemeClr w14:val="tx1"/>
            </w14:solidFill>
          </w14:textFill>
        </w:rPr>
      </w:pPr>
      <w:bookmarkStart w:id="2" w:name="_Toc35393621"/>
      <w:bookmarkStart w:id="3" w:name="_Toc35393790"/>
      <w:bookmarkStart w:id="4" w:name="_Toc28359002"/>
      <w:bookmarkStart w:id="5" w:name="_Toc28359079"/>
      <w:bookmarkStart w:id="6" w:name="_Hlk24379207"/>
      <w:r>
        <w:rPr>
          <w:rFonts w:ascii="Times New Roman" w:hAnsi="Times New Roman" w:cs="Times New Roman"/>
          <w:b w:val="0"/>
          <w:color w:val="000000" w:themeColor="text1"/>
          <w:sz w:val="24"/>
          <w:szCs w:val="28"/>
          <w14:textFill>
            <w14:solidFill>
              <w14:schemeClr w14:val="tx1"/>
            </w14:solidFill>
          </w14:textFill>
        </w:rPr>
        <w:t>一、服务基本情况</w:t>
      </w:r>
      <w:bookmarkEnd w:id="2"/>
      <w:bookmarkEnd w:id="3"/>
      <w:bookmarkEnd w:id="4"/>
      <w:bookmarkEnd w:id="5"/>
    </w:p>
    <w:p w14:paraId="0D269E2E">
      <w:pPr>
        <w:ind w:firstLine="480" w:firstLineChars="200"/>
        <w:rPr>
          <w:rFonts w:eastAsia="仿宋"/>
          <w:sz w:val="24"/>
          <w:szCs w:val="28"/>
          <w:u w:val="single"/>
        </w:rPr>
      </w:pPr>
      <w:r>
        <w:rPr>
          <w:rFonts w:eastAsia="仿宋"/>
          <w:sz w:val="24"/>
          <w:szCs w:val="28"/>
        </w:rPr>
        <w:t>服务名称：</w:t>
      </w:r>
      <w:bookmarkEnd w:id="6"/>
      <w:r>
        <w:rPr>
          <w:rFonts w:hint="eastAsia" w:eastAsia="仿宋"/>
          <w:sz w:val="24"/>
          <w:szCs w:val="28"/>
        </w:rPr>
        <w:t>慢性病相关采集数据处理服务；</w:t>
      </w:r>
    </w:p>
    <w:p w14:paraId="02812A14">
      <w:pPr>
        <w:ind w:firstLine="480" w:firstLineChars="200"/>
        <w:rPr>
          <w:rFonts w:eastAsia="仿宋"/>
          <w:sz w:val="24"/>
          <w:szCs w:val="24"/>
        </w:rPr>
      </w:pPr>
      <w:r>
        <w:rPr>
          <w:rFonts w:eastAsia="仿宋"/>
          <w:sz w:val="24"/>
          <w:szCs w:val="24"/>
        </w:rPr>
        <w:t>采购预算：人民币</w:t>
      </w:r>
      <w:r>
        <w:rPr>
          <w:rFonts w:hint="eastAsia" w:eastAsia="仿宋"/>
          <w:sz w:val="24"/>
          <w:szCs w:val="24"/>
        </w:rPr>
        <w:t>6</w:t>
      </w:r>
      <w:r>
        <w:rPr>
          <w:rFonts w:eastAsia="仿宋"/>
          <w:sz w:val="24"/>
          <w:szCs w:val="24"/>
        </w:rPr>
        <w:t>万元</w:t>
      </w:r>
      <w:r>
        <w:rPr>
          <w:rFonts w:hint="eastAsia" w:eastAsia="仿宋"/>
          <w:sz w:val="24"/>
          <w:szCs w:val="24"/>
        </w:rPr>
        <w:t>；</w:t>
      </w:r>
    </w:p>
    <w:p w14:paraId="28BFB9BC">
      <w:pPr>
        <w:ind w:firstLine="480" w:firstLineChars="200"/>
        <w:rPr>
          <w:rFonts w:eastAsia="仿宋"/>
          <w:sz w:val="24"/>
          <w:szCs w:val="24"/>
        </w:rPr>
      </w:pPr>
      <w:r>
        <w:rPr>
          <w:rFonts w:eastAsia="仿宋"/>
          <w:sz w:val="24"/>
          <w:szCs w:val="24"/>
        </w:rPr>
        <w:t>采购需求：数据处理技术服务</w:t>
      </w:r>
      <w:r>
        <w:rPr>
          <w:rFonts w:hint="eastAsia" w:eastAsia="仿宋"/>
          <w:sz w:val="24"/>
          <w:szCs w:val="24"/>
        </w:rPr>
        <w:t>；</w:t>
      </w:r>
    </w:p>
    <w:p w14:paraId="0AFBBC69">
      <w:pPr>
        <w:widowControl/>
        <w:ind w:firstLine="480" w:firstLineChars="200"/>
        <w:jc w:val="left"/>
        <w:rPr>
          <w:rFonts w:eastAsia="仿宋"/>
          <w:sz w:val="24"/>
          <w:szCs w:val="24"/>
        </w:rPr>
      </w:pPr>
      <w:r>
        <w:rPr>
          <w:rFonts w:eastAsia="仿宋"/>
          <w:sz w:val="24"/>
          <w:szCs w:val="24"/>
        </w:rPr>
        <w:t>合同履行期限：从合同签订之日起到验收合格为止</w:t>
      </w:r>
      <w:r>
        <w:rPr>
          <w:rFonts w:hint="eastAsia" w:eastAsia="仿宋"/>
          <w:sz w:val="24"/>
          <w:szCs w:val="24"/>
        </w:rPr>
        <w:t>。</w:t>
      </w:r>
    </w:p>
    <w:p w14:paraId="375F08B2">
      <w:pPr>
        <w:pStyle w:val="9"/>
        <w:ind w:left="1260"/>
      </w:pPr>
    </w:p>
    <w:p w14:paraId="33B66DA4">
      <w:pPr>
        <w:pStyle w:val="3"/>
        <w:spacing w:line="360" w:lineRule="auto"/>
        <w:rPr>
          <w:rFonts w:ascii="Times New Roman" w:hAnsi="Times New Roman" w:cs="Times New Roman"/>
          <w:b w:val="0"/>
          <w:sz w:val="24"/>
          <w:szCs w:val="28"/>
        </w:rPr>
      </w:pPr>
      <w:bookmarkStart w:id="7" w:name="_Toc28359003"/>
      <w:bookmarkStart w:id="8" w:name="_Toc35393791"/>
      <w:bookmarkStart w:id="9" w:name="_Toc28359080"/>
      <w:bookmarkStart w:id="10" w:name="_Toc35393622"/>
      <w:r>
        <w:rPr>
          <w:rFonts w:ascii="Times New Roman" w:hAnsi="Times New Roman" w:cs="Times New Roman"/>
          <w:b w:val="0"/>
          <w:sz w:val="24"/>
          <w:szCs w:val="28"/>
        </w:rPr>
        <w:t>二、申请人的资格要求：</w:t>
      </w:r>
      <w:bookmarkEnd w:id="7"/>
      <w:bookmarkEnd w:id="8"/>
      <w:bookmarkEnd w:id="9"/>
      <w:bookmarkEnd w:id="10"/>
    </w:p>
    <w:p w14:paraId="3B55A0E3">
      <w:pPr>
        <w:spacing w:after="120" w:line="360" w:lineRule="auto"/>
        <w:ind w:left="420"/>
        <w:rPr>
          <w:rFonts w:eastAsia="仿宋"/>
          <w:sz w:val="24"/>
          <w:szCs w:val="28"/>
        </w:rPr>
      </w:pPr>
      <w:bookmarkStart w:id="11" w:name="_Toc35393623"/>
      <w:bookmarkStart w:id="12" w:name="_Toc35393792"/>
      <w:bookmarkStart w:id="13" w:name="_Toc28359004"/>
      <w:bookmarkStart w:id="14" w:name="_Toc28359081"/>
      <w:r>
        <w:rPr>
          <w:rFonts w:eastAsia="仿宋"/>
          <w:sz w:val="24"/>
          <w:szCs w:val="28"/>
        </w:rPr>
        <w:t>满足《中华人民共和国政府采购法》第二十二条规定</w:t>
      </w:r>
      <w:r>
        <w:rPr>
          <w:rFonts w:eastAsia="仿宋"/>
          <w:sz w:val="24"/>
          <w:szCs w:val="28"/>
          <w:lang w:val="zh-CN"/>
        </w:rPr>
        <w:t>:</w:t>
      </w:r>
    </w:p>
    <w:p w14:paraId="04EEB218">
      <w:pPr>
        <w:spacing w:line="360" w:lineRule="auto"/>
        <w:ind w:firstLine="484" w:firstLineChars="202"/>
        <w:rPr>
          <w:rFonts w:eastAsia="仿宋"/>
          <w:sz w:val="24"/>
          <w:szCs w:val="28"/>
        </w:rPr>
      </w:pPr>
      <w:r>
        <w:rPr>
          <w:rFonts w:eastAsia="仿宋"/>
          <w:sz w:val="24"/>
          <w:szCs w:val="28"/>
        </w:rPr>
        <w:t xml:space="preserve">（1）具有独立承担民事责任的能力（提供法人或者其他组织的营业执照；供应商为自然人的提供其身份证）； </w:t>
      </w:r>
    </w:p>
    <w:p w14:paraId="1F7B5142">
      <w:pPr>
        <w:spacing w:line="360" w:lineRule="auto"/>
        <w:ind w:firstLine="484" w:firstLineChars="202"/>
        <w:rPr>
          <w:rFonts w:eastAsia="仿宋"/>
          <w:sz w:val="24"/>
          <w:szCs w:val="28"/>
        </w:rPr>
      </w:pPr>
      <w:r>
        <w:rPr>
          <w:rFonts w:eastAsia="仿宋"/>
          <w:sz w:val="24"/>
          <w:szCs w:val="28"/>
        </w:rPr>
        <w:t>（2）具有良好的商业信誉和健全的财务会计制度（提供202</w:t>
      </w:r>
      <w:r>
        <w:rPr>
          <w:rFonts w:hint="eastAsia" w:eastAsia="仿宋"/>
          <w:sz w:val="24"/>
          <w:szCs w:val="28"/>
        </w:rPr>
        <w:t>4</w:t>
      </w:r>
      <w:r>
        <w:rPr>
          <w:rFonts w:eastAsia="仿宋"/>
          <w:sz w:val="24"/>
          <w:szCs w:val="28"/>
        </w:rPr>
        <w:t>年度的财务报表或财政部门认可的政府采购专业担保机构出具的投标担保函）；</w:t>
      </w:r>
    </w:p>
    <w:p w14:paraId="4C3E5679">
      <w:pPr>
        <w:spacing w:line="360" w:lineRule="auto"/>
        <w:ind w:firstLine="484" w:firstLineChars="202"/>
        <w:rPr>
          <w:rFonts w:eastAsia="仿宋"/>
          <w:sz w:val="24"/>
          <w:szCs w:val="28"/>
        </w:rPr>
      </w:pPr>
      <w:r>
        <w:rPr>
          <w:rFonts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328AA7A9">
      <w:pPr>
        <w:spacing w:line="360" w:lineRule="auto"/>
        <w:ind w:firstLine="484" w:firstLineChars="202"/>
        <w:rPr>
          <w:rFonts w:eastAsia="仿宋"/>
          <w:sz w:val="24"/>
          <w:szCs w:val="28"/>
        </w:rPr>
      </w:pPr>
      <w:r>
        <w:rPr>
          <w:rFonts w:eastAsia="仿宋"/>
          <w:sz w:val="24"/>
          <w:szCs w:val="28"/>
        </w:rPr>
        <w:t>（4）参加政府采购活动前三年内，在经营活动中没有重大违法记录（提供承诺书）；</w:t>
      </w:r>
    </w:p>
    <w:p w14:paraId="6CCF61CC">
      <w:pPr>
        <w:spacing w:line="360" w:lineRule="auto"/>
        <w:ind w:firstLine="484" w:firstLineChars="202"/>
        <w:rPr>
          <w:rFonts w:eastAsia="仿宋"/>
          <w:sz w:val="24"/>
          <w:szCs w:val="28"/>
        </w:rPr>
      </w:pPr>
      <w:r>
        <w:rPr>
          <w:rFonts w:eastAsia="仿宋"/>
          <w:sz w:val="24"/>
          <w:szCs w:val="28"/>
        </w:rPr>
        <w:t>（5）法律、行政法规规定的其他条件：无</w:t>
      </w:r>
    </w:p>
    <w:p w14:paraId="6E3D4B52">
      <w:pPr>
        <w:pStyle w:val="3"/>
        <w:spacing w:line="360" w:lineRule="auto"/>
        <w:rPr>
          <w:rFonts w:ascii="Times New Roman" w:hAnsi="Times New Roman" w:cs="Times New Roman"/>
          <w:b w:val="0"/>
          <w:sz w:val="24"/>
          <w:szCs w:val="28"/>
        </w:rPr>
      </w:pPr>
      <w:r>
        <w:rPr>
          <w:rFonts w:ascii="Times New Roman" w:hAnsi="Times New Roman" w:cs="Times New Roman"/>
          <w:b w:val="0"/>
          <w:sz w:val="24"/>
          <w:szCs w:val="28"/>
        </w:rPr>
        <w:t>三、获取招标文件</w:t>
      </w:r>
      <w:bookmarkEnd w:id="11"/>
      <w:bookmarkEnd w:id="12"/>
      <w:bookmarkEnd w:id="13"/>
      <w:bookmarkEnd w:id="14"/>
    </w:p>
    <w:p w14:paraId="589FDFB2">
      <w:pPr>
        <w:spacing w:line="360" w:lineRule="auto"/>
        <w:rPr>
          <w:rFonts w:eastAsia="仿宋"/>
          <w:sz w:val="24"/>
          <w:szCs w:val="28"/>
        </w:rPr>
      </w:pPr>
      <w:bookmarkStart w:id="15" w:name="_Toc35393793"/>
      <w:bookmarkStart w:id="16" w:name="_Toc35393624"/>
      <w:bookmarkStart w:id="17" w:name="_Toc28359005"/>
      <w:bookmarkStart w:id="18" w:name="_Toc28359082"/>
      <w:r>
        <w:rPr>
          <w:rFonts w:eastAsia="仿宋"/>
          <w:sz w:val="24"/>
          <w:szCs w:val="28"/>
        </w:rPr>
        <w:t>详见南京市疾控中心官网。</w:t>
      </w:r>
    </w:p>
    <w:bookmarkEnd w:id="15"/>
    <w:bookmarkEnd w:id="16"/>
    <w:bookmarkEnd w:id="17"/>
    <w:bookmarkEnd w:id="18"/>
    <w:p w14:paraId="48BF1F9C">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rPr>
        <w:t>网络报名方式及期限:</w:t>
      </w:r>
    </w:p>
    <w:p w14:paraId="319F38AD">
      <w:pPr>
        <w:spacing w:line="360" w:lineRule="auto"/>
        <w:rPr>
          <w:rFonts w:eastAsia="仿宋"/>
          <w:sz w:val="24"/>
          <w:szCs w:val="28"/>
        </w:rPr>
      </w:pPr>
      <w:r>
        <w:rPr>
          <w:rFonts w:hint="eastAsia" w:eastAsia="仿宋"/>
          <w:sz w:val="24"/>
          <w:szCs w:val="28"/>
        </w:rPr>
        <w:t>　　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739C1755">
      <w:pPr>
        <w:spacing w:line="360" w:lineRule="auto"/>
        <w:ind w:firstLine="480" w:firstLineChars="200"/>
        <w:rPr>
          <w:rFonts w:ascii="仿宋" w:hAnsi="仿宋" w:eastAsia="仿宋" w:cs="宋体"/>
          <w:sz w:val="24"/>
          <w:szCs w:val="28"/>
        </w:rPr>
      </w:pPr>
      <w:r>
        <w:rPr>
          <w:rFonts w:hint="eastAsia" w:eastAsia="仿宋"/>
          <w:sz w:val="24"/>
          <w:szCs w:val="28"/>
        </w:rPr>
        <w:t>网络报名截止时间：2025年7 月 日 点 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rPr>
        <w:t>致电</w:t>
      </w:r>
      <w:r>
        <w:rPr>
          <w:rFonts w:hint="eastAsia" w:eastAsia="仿宋"/>
          <w:sz w:val="24"/>
          <w:szCs w:val="28"/>
        </w:rPr>
        <w:t>采购办备案。（83538375）</w:t>
      </w:r>
    </w:p>
    <w:p w14:paraId="748A0712">
      <w:pPr>
        <w:pStyle w:val="3"/>
        <w:spacing w:line="360" w:lineRule="auto"/>
        <w:rPr>
          <w:rFonts w:ascii="黑体" w:hAnsi="黑体" w:cs="宋体"/>
          <w:b w:val="0"/>
          <w:sz w:val="24"/>
          <w:szCs w:val="28"/>
        </w:rPr>
      </w:pPr>
      <w:r>
        <w:rPr>
          <w:rFonts w:hint="eastAsia" w:ascii="黑体" w:hAnsi="黑体" w:cs="宋体"/>
          <w:b w:val="0"/>
          <w:sz w:val="24"/>
          <w:szCs w:val="28"/>
        </w:rPr>
        <w:t>五、标文件截止时间、开标时间和地点</w:t>
      </w:r>
    </w:p>
    <w:p w14:paraId="7C7D3943">
      <w:pPr>
        <w:spacing w:line="360" w:lineRule="auto"/>
        <w:jc w:val="left"/>
        <w:rPr>
          <w:rFonts w:eastAsia="仿宋"/>
          <w:sz w:val="24"/>
          <w:szCs w:val="28"/>
          <w:highlight w:val="none"/>
        </w:rPr>
      </w:pPr>
      <w:bookmarkStart w:id="19" w:name="_Toc35393625"/>
      <w:bookmarkStart w:id="20" w:name="_Toc28359007"/>
      <w:bookmarkStart w:id="21" w:name="_Toc35393794"/>
      <w:bookmarkStart w:id="22" w:name="_Toc28359084"/>
      <w:r>
        <w:rPr>
          <w:rFonts w:hint="eastAsia" w:eastAsia="仿宋"/>
          <w:sz w:val="24"/>
          <w:szCs w:val="28"/>
          <w:highlight w:val="none"/>
        </w:rPr>
        <w:t>递交响应文件时间：2025年</w:t>
      </w:r>
      <w:r>
        <w:rPr>
          <w:rFonts w:hint="eastAsia" w:eastAsia="仿宋"/>
          <w:sz w:val="24"/>
          <w:szCs w:val="28"/>
          <w:highlight w:val="none"/>
          <w:lang w:val="en-US" w:eastAsia="zh-CN"/>
        </w:rPr>
        <w:t>8</w:t>
      </w:r>
      <w:r>
        <w:rPr>
          <w:rFonts w:hint="eastAsia" w:eastAsia="仿宋"/>
          <w:sz w:val="24"/>
          <w:szCs w:val="28"/>
          <w:highlight w:val="none"/>
        </w:rPr>
        <w:t>月</w:t>
      </w:r>
      <w:r>
        <w:rPr>
          <w:rFonts w:hint="eastAsia" w:eastAsia="仿宋"/>
          <w:sz w:val="24"/>
          <w:szCs w:val="28"/>
          <w:highlight w:val="none"/>
          <w:lang w:val="en-US" w:eastAsia="zh-CN"/>
        </w:rPr>
        <w:t>21</w:t>
      </w:r>
      <w:r>
        <w:rPr>
          <w:rFonts w:hint="eastAsia" w:eastAsia="仿宋"/>
          <w:sz w:val="24"/>
          <w:szCs w:val="28"/>
          <w:highlight w:val="none"/>
        </w:rPr>
        <w:t>日</w:t>
      </w:r>
      <w:r>
        <w:rPr>
          <w:rFonts w:hint="eastAsia" w:eastAsia="仿宋"/>
          <w:bCs/>
          <w:color w:val="000000" w:themeColor="text1"/>
          <w:sz w:val="24"/>
          <w:szCs w:val="28"/>
          <w:highlight w:val="none"/>
          <w:u w:val="none"/>
          <w:lang w:val="en-US" w:eastAsia="zh-CN"/>
          <w14:textFill>
            <w14:solidFill>
              <w14:schemeClr w14:val="tx1"/>
            </w14:solidFill>
          </w14:textFill>
        </w:rPr>
        <w:t>14</w:t>
      </w:r>
      <w:r>
        <w:rPr>
          <w:rFonts w:hint="eastAsia" w:eastAsia="仿宋"/>
          <w:bCs/>
          <w:color w:val="000000" w:themeColor="text1"/>
          <w:sz w:val="24"/>
          <w:szCs w:val="28"/>
          <w:highlight w:val="none"/>
          <w:u w:val="none"/>
          <w:lang w:eastAsia="zh-CN"/>
          <w14:textFill>
            <w14:solidFill>
              <w14:schemeClr w14:val="tx1"/>
            </w14:solidFill>
          </w14:textFill>
        </w:rPr>
        <w:t>：</w:t>
      </w:r>
      <w:r>
        <w:rPr>
          <w:rFonts w:hint="eastAsia" w:eastAsia="仿宋"/>
          <w:bCs/>
          <w:color w:val="000000" w:themeColor="text1"/>
          <w:sz w:val="24"/>
          <w:szCs w:val="28"/>
          <w:highlight w:val="none"/>
          <w:u w:val="none"/>
          <w:lang w:val="en-US" w:eastAsia="zh-CN"/>
          <w14:textFill>
            <w14:solidFill>
              <w14:schemeClr w14:val="tx1"/>
            </w14:solidFill>
          </w14:textFill>
        </w:rPr>
        <w:t>00</w:t>
      </w:r>
      <w:r>
        <w:rPr>
          <w:rFonts w:hint="eastAsia" w:eastAsia="仿宋"/>
          <w:sz w:val="24"/>
          <w:szCs w:val="28"/>
          <w:highlight w:val="none"/>
        </w:rPr>
        <w:t>；</w:t>
      </w:r>
    </w:p>
    <w:p w14:paraId="64E430A3">
      <w:pPr>
        <w:spacing w:line="360" w:lineRule="auto"/>
        <w:jc w:val="left"/>
        <w:rPr>
          <w:rFonts w:eastAsia="仿宋"/>
          <w:sz w:val="24"/>
          <w:szCs w:val="28"/>
          <w:highlight w:val="none"/>
        </w:rPr>
      </w:pPr>
      <w:r>
        <w:rPr>
          <w:rFonts w:hint="eastAsia" w:eastAsia="仿宋"/>
          <w:sz w:val="24"/>
          <w:szCs w:val="28"/>
          <w:highlight w:val="none"/>
        </w:rPr>
        <w:t>开标时间：2025年</w:t>
      </w:r>
      <w:r>
        <w:rPr>
          <w:rFonts w:hint="eastAsia" w:eastAsia="仿宋"/>
          <w:sz w:val="24"/>
          <w:szCs w:val="28"/>
          <w:highlight w:val="none"/>
          <w:lang w:val="en-US" w:eastAsia="zh-CN"/>
        </w:rPr>
        <w:t>8</w:t>
      </w:r>
      <w:r>
        <w:rPr>
          <w:rFonts w:hint="eastAsia" w:eastAsia="仿宋"/>
          <w:sz w:val="24"/>
          <w:szCs w:val="28"/>
          <w:highlight w:val="none"/>
        </w:rPr>
        <w:t>月</w:t>
      </w:r>
      <w:r>
        <w:rPr>
          <w:rFonts w:hint="eastAsia" w:eastAsia="仿宋"/>
          <w:sz w:val="24"/>
          <w:szCs w:val="28"/>
          <w:highlight w:val="none"/>
          <w:lang w:val="en-US" w:eastAsia="zh-CN"/>
        </w:rPr>
        <w:t>21</w:t>
      </w:r>
      <w:r>
        <w:rPr>
          <w:rFonts w:hint="eastAsia" w:eastAsia="仿宋"/>
          <w:sz w:val="24"/>
          <w:szCs w:val="28"/>
          <w:highlight w:val="none"/>
        </w:rPr>
        <w:t>日</w:t>
      </w:r>
      <w:r>
        <w:rPr>
          <w:rFonts w:hint="eastAsia" w:eastAsia="仿宋"/>
          <w:sz w:val="24"/>
          <w:szCs w:val="28"/>
          <w:highlight w:val="none"/>
          <w:lang w:val="en-US" w:eastAsia="zh-CN"/>
        </w:rPr>
        <w:t>14:30</w:t>
      </w:r>
      <w:r>
        <w:rPr>
          <w:rFonts w:hint="eastAsia" w:eastAsia="仿宋"/>
          <w:sz w:val="24"/>
          <w:szCs w:val="28"/>
          <w:highlight w:val="none"/>
        </w:rPr>
        <w:t>；</w:t>
      </w:r>
    </w:p>
    <w:p w14:paraId="209C9ED1">
      <w:pPr>
        <w:spacing w:line="360" w:lineRule="auto"/>
        <w:jc w:val="left"/>
        <w:rPr>
          <w:rFonts w:eastAsia="仿宋"/>
          <w:color w:val="000000" w:themeColor="text1"/>
          <w:sz w:val="24"/>
          <w:szCs w:val="28"/>
          <w:highlight w:val="none"/>
          <w14:textFill>
            <w14:solidFill>
              <w14:schemeClr w14:val="tx1"/>
            </w14:solidFill>
          </w14:textFill>
        </w:rPr>
      </w:pPr>
      <w:r>
        <w:rPr>
          <w:rFonts w:hint="eastAsia" w:eastAsia="仿宋"/>
          <w:sz w:val="24"/>
          <w:szCs w:val="28"/>
          <w:highlight w:val="none"/>
        </w:rPr>
        <w:t>开标地点：</w:t>
      </w:r>
      <w:r>
        <w:rPr>
          <w:rFonts w:hint="eastAsia" w:eastAsia="仿宋"/>
          <w:color w:val="000000" w:themeColor="text1"/>
          <w:sz w:val="24"/>
          <w:szCs w:val="28"/>
          <w:highlight w:val="none"/>
          <w14:textFill>
            <w14:solidFill>
              <w14:schemeClr w14:val="tx1"/>
            </w14:solidFill>
          </w14:textFill>
        </w:rPr>
        <w:t>南京市疾病预防控制中心</w:t>
      </w:r>
      <w:r>
        <w:rPr>
          <w:rFonts w:hint="eastAsia" w:eastAsia="仿宋"/>
          <w:color w:val="000000" w:themeColor="text1"/>
          <w:sz w:val="24"/>
          <w:szCs w:val="28"/>
          <w:highlight w:val="none"/>
          <w:lang w:val="en-US" w:eastAsia="zh-CN"/>
          <w14:textFill>
            <w14:solidFill>
              <w14:schemeClr w14:val="tx1"/>
            </w14:solidFill>
          </w14:textFill>
        </w:rPr>
        <w:t>2楼会议室</w:t>
      </w:r>
      <w:r>
        <w:rPr>
          <w:rFonts w:hint="eastAsia" w:eastAsia="仿宋"/>
          <w:color w:val="000000" w:themeColor="text1"/>
          <w:sz w:val="24"/>
          <w:szCs w:val="28"/>
          <w:highlight w:val="none"/>
          <w14:textFill>
            <w14:solidFill>
              <w14:schemeClr w14:val="tx1"/>
            </w14:solidFill>
          </w14:textFill>
        </w:rPr>
        <w:t>（南京市玄武区昆仑路16号）。</w:t>
      </w:r>
    </w:p>
    <w:p w14:paraId="4CEC1A0E">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14:paraId="37F9E01F">
      <w:pPr>
        <w:pStyle w:val="3"/>
        <w:spacing w:line="360" w:lineRule="auto"/>
        <w:rPr>
          <w:rFonts w:ascii="黑体" w:hAnsi="黑体" w:cs="宋体"/>
          <w:b w:val="0"/>
          <w:sz w:val="24"/>
          <w:szCs w:val="28"/>
        </w:rPr>
      </w:pPr>
      <w:r>
        <w:rPr>
          <w:rFonts w:hint="eastAsia" w:ascii="黑体" w:hAnsi="黑体" w:cs="宋体"/>
          <w:b w:val="0"/>
          <w:sz w:val="24"/>
          <w:szCs w:val="28"/>
        </w:rPr>
        <w:t>六、公告期限</w:t>
      </w:r>
      <w:bookmarkEnd w:id="19"/>
      <w:bookmarkEnd w:id="20"/>
      <w:bookmarkEnd w:id="21"/>
      <w:bookmarkEnd w:id="22"/>
    </w:p>
    <w:p w14:paraId="56F703D3">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354B19B5">
      <w:pPr>
        <w:pStyle w:val="3"/>
        <w:spacing w:line="360" w:lineRule="auto"/>
        <w:rPr>
          <w:rFonts w:ascii="黑体" w:hAnsi="黑体" w:cs="宋体"/>
          <w:b w:val="0"/>
          <w:sz w:val="24"/>
          <w:szCs w:val="28"/>
        </w:rPr>
      </w:pPr>
      <w:bookmarkStart w:id="23" w:name="_Toc35393795"/>
      <w:bookmarkStart w:id="24" w:name="_Toc35393626"/>
      <w:r>
        <w:rPr>
          <w:rFonts w:hint="eastAsia" w:ascii="黑体" w:hAnsi="黑体" w:cs="宋体"/>
          <w:b w:val="0"/>
          <w:sz w:val="24"/>
          <w:szCs w:val="28"/>
        </w:rPr>
        <w:t>七、其他补充事宜</w:t>
      </w:r>
      <w:bookmarkEnd w:id="23"/>
      <w:bookmarkEnd w:id="24"/>
    </w:p>
    <w:p w14:paraId="143A8F0C">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14:paraId="47EE159F">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67F72D10">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w:t>
      </w:r>
      <w:r>
        <w:rPr>
          <w:rFonts w:hint="eastAsia" w:ascii="仿宋" w:hAnsi="仿宋" w:eastAsia="仿宋" w:cs="宋体"/>
          <w:sz w:val="24"/>
          <w:szCs w:val="28"/>
        </w:rPr>
        <w:t>服务</w:t>
      </w:r>
      <w:r>
        <w:rPr>
          <w:rFonts w:ascii="仿宋" w:hAnsi="仿宋" w:eastAsia="仿宋" w:cs="宋体"/>
          <w:sz w:val="24"/>
          <w:szCs w:val="28"/>
        </w:rPr>
        <w:t>负责人情况表；其他相关材料。</w:t>
      </w:r>
    </w:p>
    <w:p w14:paraId="3D72465C">
      <w:pPr>
        <w:pStyle w:val="3"/>
        <w:spacing w:line="360" w:lineRule="auto"/>
        <w:rPr>
          <w:rFonts w:ascii="仿宋" w:hAnsi="仿宋" w:eastAsia="仿宋" w:cs="宋体"/>
          <w:b w:val="0"/>
          <w:bCs w:val="0"/>
          <w:sz w:val="24"/>
          <w:szCs w:val="28"/>
        </w:rPr>
      </w:pPr>
      <w:bookmarkStart w:id="25" w:name="_Toc35393627"/>
      <w:bookmarkStart w:id="26" w:name="_Toc28359008"/>
      <w:bookmarkStart w:id="27" w:name="_Toc28359085"/>
      <w:bookmarkStart w:id="28" w:name="_Toc35393796"/>
      <w:r>
        <w:rPr>
          <w:rFonts w:hint="eastAsia" w:ascii="黑体" w:hAnsi="黑体" w:cs="宋体"/>
          <w:b w:val="0"/>
          <w:sz w:val="24"/>
          <w:szCs w:val="28"/>
        </w:rPr>
        <w:t>八、对本次招标提出询问，请按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7CD6D9DF">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1.采购人信息：汪娜    联系方式：8353</w:t>
      </w:r>
      <w:bookmarkStart w:id="29" w:name="_Toc28359086"/>
      <w:bookmarkStart w:id="30" w:name="_Toc28359009"/>
      <w:r>
        <w:rPr>
          <w:rFonts w:hint="eastAsia" w:ascii="仿宋" w:hAnsi="仿宋" w:eastAsia="仿宋" w:cs="宋体"/>
          <w:sz w:val="24"/>
          <w:szCs w:val="28"/>
        </w:rPr>
        <w:t>8375</w:t>
      </w:r>
    </w:p>
    <w:p w14:paraId="22B2C64E">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 xml:space="preserve">2.使用科室信息：洪忻  联系方式： 83538339   </w:t>
      </w:r>
    </w:p>
    <w:bookmarkEnd w:id="29"/>
    <w:bookmarkEnd w:id="30"/>
    <w:p w14:paraId="7887B64E">
      <w:pPr>
        <w:pStyle w:val="3"/>
        <w:widowControl/>
        <w:spacing w:line="360" w:lineRule="auto"/>
        <w:jc w:val="left"/>
        <w:rPr>
          <w:rFonts w:ascii="仿宋" w:hAnsi="仿宋" w:eastAsia="仿宋"/>
          <w:sz w:val="24"/>
          <w:szCs w:val="28"/>
        </w:rPr>
      </w:pPr>
      <w:r>
        <w:rPr>
          <w:rFonts w:hint="eastAsia" w:ascii="仿宋" w:hAnsi="仿宋" w:eastAsia="仿宋" w:cs="宋体"/>
          <w:b w:val="0"/>
          <w:bCs w:val="0"/>
          <w:sz w:val="24"/>
          <w:szCs w:val="28"/>
        </w:rPr>
        <w:t>（</w:t>
      </w:r>
      <w:r>
        <w:rPr>
          <w:rFonts w:hint="eastAsia" w:ascii="仿宋" w:hAnsi="仿宋" w:eastAsia="仿宋" w:cs="宋体"/>
          <w:b w:val="0"/>
          <w:bCs w:val="0"/>
          <w:sz w:val="24"/>
          <w:szCs w:val="28"/>
          <w:highlight w:val="lightGray"/>
        </w:rPr>
        <w:t>请务必提前与使用科室沟通确认具体采购需求，避免理解上的偏差。</w:t>
      </w:r>
      <w:r>
        <w:rPr>
          <w:rFonts w:hint="eastAsia" w:ascii="仿宋" w:hAnsi="仿宋" w:eastAsia="仿宋" w:cs="宋体"/>
          <w:b w:val="0"/>
          <w:bCs w:val="0"/>
          <w:sz w:val="24"/>
          <w:szCs w:val="28"/>
        </w:rPr>
        <w:t>）</w:t>
      </w:r>
    </w:p>
    <w:p w14:paraId="7E605873">
      <w:pPr>
        <w:widowControl/>
        <w:jc w:val="left"/>
        <w:rPr>
          <w:rFonts w:eastAsia="仿宋_GB2312"/>
          <w:sz w:val="24"/>
          <w:szCs w:val="28"/>
        </w:rPr>
      </w:pPr>
    </w:p>
    <w:p w14:paraId="4594D2DF">
      <w:pPr>
        <w:widowControl/>
        <w:jc w:val="left"/>
        <w:rPr>
          <w:rFonts w:eastAsia="仿宋"/>
          <w:sz w:val="24"/>
          <w:szCs w:val="28"/>
        </w:rPr>
      </w:pPr>
    </w:p>
    <w:p w14:paraId="0517D385">
      <w:pPr>
        <w:pStyle w:val="2"/>
        <w:widowControl/>
        <w:tabs>
          <w:tab w:val="left" w:pos="0"/>
          <w:tab w:val="left" w:pos="3165"/>
          <w:tab w:val="center" w:pos="4153"/>
        </w:tabs>
        <w:autoSpaceDE w:val="0"/>
        <w:autoSpaceDN w:val="0"/>
        <w:adjustRightInd w:val="0"/>
        <w:spacing w:before="0" w:after="0" w:line="360" w:lineRule="auto"/>
        <w:jc w:val="center"/>
        <w:rPr>
          <w:rFonts w:eastAsia="华文中宋"/>
          <w:sz w:val="32"/>
        </w:rPr>
      </w:pPr>
      <w:r>
        <w:rPr>
          <w:rFonts w:eastAsia="华文中宋"/>
          <w:sz w:val="32"/>
        </w:rPr>
        <w:t>第二章    评审办法</w:t>
      </w:r>
    </w:p>
    <w:p w14:paraId="04DF37F1">
      <w:pPr>
        <w:widowControl/>
        <w:jc w:val="center"/>
        <w:rPr>
          <w:rFonts w:eastAsia="仿宋"/>
          <w:kern w:val="0"/>
          <w:sz w:val="24"/>
          <w:szCs w:val="28"/>
        </w:rPr>
      </w:pPr>
    </w:p>
    <w:p w14:paraId="40EBD9B8">
      <w:pPr>
        <w:rPr>
          <w:u w:val="single"/>
        </w:rPr>
      </w:pPr>
      <w:r>
        <w:rPr>
          <w:u w:val="single"/>
        </w:rPr>
        <w:t>1.评分标准附表</w:t>
      </w:r>
    </w:p>
    <w:tbl>
      <w:tblPr>
        <w:tblStyle w:val="21"/>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870"/>
        <w:gridCol w:w="969"/>
        <w:gridCol w:w="7771"/>
      </w:tblGrid>
      <w:tr w14:paraId="1C76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21BF1F76">
            <w:pPr>
              <w:widowControl/>
              <w:jc w:val="center"/>
              <w:rPr>
                <w:kern w:val="0"/>
                <w:sz w:val="20"/>
                <w:szCs w:val="20"/>
              </w:rPr>
            </w:pPr>
            <w:r>
              <w:rPr>
                <w:kern w:val="0"/>
                <w:sz w:val="20"/>
                <w:szCs w:val="20"/>
              </w:rPr>
              <w:t>序号</w:t>
            </w:r>
          </w:p>
        </w:tc>
        <w:tc>
          <w:tcPr>
            <w:tcW w:w="870" w:type="dxa"/>
            <w:tcBorders>
              <w:top w:val="single" w:color="auto" w:sz="4" w:space="0"/>
              <w:left w:val="single" w:color="auto" w:sz="4" w:space="0"/>
              <w:bottom w:val="single" w:color="auto" w:sz="4" w:space="0"/>
              <w:right w:val="single" w:color="auto" w:sz="4" w:space="0"/>
            </w:tcBorders>
            <w:vAlign w:val="center"/>
          </w:tcPr>
          <w:p w14:paraId="11A6E683">
            <w:pPr>
              <w:widowControl/>
              <w:jc w:val="center"/>
              <w:rPr>
                <w:kern w:val="0"/>
                <w:sz w:val="20"/>
                <w:szCs w:val="20"/>
              </w:rPr>
            </w:pPr>
            <w:r>
              <w:rPr>
                <w:kern w:val="0"/>
                <w:sz w:val="20"/>
                <w:szCs w:val="20"/>
              </w:rPr>
              <w:t>评审因素</w:t>
            </w:r>
          </w:p>
        </w:tc>
        <w:tc>
          <w:tcPr>
            <w:tcW w:w="969" w:type="dxa"/>
            <w:tcBorders>
              <w:top w:val="single" w:color="auto" w:sz="4" w:space="0"/>
              <w:left w:val="single" w:color="auto" w:sz="4" w:space="0"/>
              <w:bottom w:val="single" w:color="auto" w:sz="4" w:space="0"/>
              <w:right w:val="single" w:color="auto" w:sz="4" w:space="0"/>
            </w:tcBorders>
            <w:vAlign w:val="center"/>
          </w:tcPr>
          <w:p w14:paraId="797A82F9">
            <w:pPr>
              <w:widowControl/>
              <w:jc w:val="center"/>
              <w:rPr>
                <w:kern w:val="0"/>
                <w:sz w:val="20"/>
                <w:szCs w:val="20"/>
              </w:rPr>
            </w:pPr>
            <w:r>
              <w:rPr>
                <w:kern w:val="0"/>
                <w:sz w:val="20"/>
                <w:szCs w:val="20"/>
              </w:rPr>
              <w:t>分数</w:t>
            </w:r>
          </w:p>
        </w:tc>
        <w:tc>
          <w:tcPr>
            <w:tcW w:w="7771" w:type="dxa"/>
            <w:tcBorders>
              <w:top w:val="single" w:color="auto" w:sz="4" w:space="0"/>
              <w:left w:val="single" w:color="auto" w:sz="4" w:space="0"/>
              <w:bottom w:val="single" w:color="auto" w:sz="4" w:space="0"/>
              <w:right w:val="single" w:color="auto" w:sz="4" w:space="0"/>
            </w:tcBorders>
            <w:vAlign w:val="center"/>
          </w:tcPr>
          <w:p w14:paraId="5249AA2E">
            <w:pPr>
              <w:widowControl/>
              <w:jc w:val="center"/>
              <w:rPr>
                <w:kern w:val="0"/>
                <w:sz w:val="20"/>
                <w:szCs w:val="20"/>
              </w:rPr>
            </w:pPr>
            <w:r>
              <w:rPr>
                <w:kern w:val="0"/>
                <w:sz w:val="20"/>
                <w:szCs w:val="20"/>
              </w:rPr>
              <w:t>评分标准</w:t>
            </w:r>
          </w:p>
        </w:tc>
      </w:tr>
      <w:tr w14:paraId="18AE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1EE19E5B">
            <w:pPr>
              <w:widowControl/>
              <w:jc w:val="left"/>
              <w:rPr>
                <w:kern w:val="0"/>
                <w:sz w:val="20"/>
                <w:szCs w:val="20"/>
              </w:rPr>
            </w:pPr>
            <w:r>
              <w:rPr>
                <w:kern w:val="0"/>
                <w:sz w:val="20"/>
                <w:szCs w:val="20"/>
              </w:rPr>
              <w:t>1</w:t>
            </w:r>
          </w:p>
        </w:tc>
        <w:tc>
          <w:tcPr>
            <w:tcW w:w="870" w:type="dxa"/>
            <w:tcBorders>
              <w:top w:val="single" w:color="auto" w:sz="4" w:space="0"/>
              <w:left w:val="single" w:color="auto" w:sz="4" w:space="0"/>
              <w:bottom w:val="single" w:color="auto" w:sz="4" w:space="0"/>
              <w:right w:val="single" w:color="auto" w:sz="4" w:space="0"/>
            </w:tcBorders>
            <w:vAlign w:val="center"/>
          </w:tcPr>
          <w:p w14:paraId="3EEFDB1C">
            <w:pPr>
              <w:pStyle w:val="7"/>
              <w:jc w:val="center"/>
              <w:rPr>
                <w:sz w:val="20"/>
                <w:szCs w:val="20"/>
              </w:rPr>
            </w:pPr>
            <w:r>
              <w:rPr>
                <w:sz w:val="20"/>
                <w:szCs w:val="20"/>
              </w:rPr>
              <w:t>价格</w:t>
            </w:r>
          </w:p>
        </w:tc>
        <w:tc>
          <w:tcPr>
            <w:tcW w:w="969" w:type="dxa"/>
            <w:tcBorders>
              <w:top w:val="single" w:color="auto" w:sz="4" w:space="0"/>
              <w:left w:val="single" w:color="auto" w:sz="4" w:space="0"/>
              <w:bottom w:val="single" w:color="auto" w:sz="4" w:space="0"/>
              <w:right w:val="single" w:color="auto" w:sz="4" w:space="0"/>
            </w:tcBorders>
            <w:vAlign w:val="center"/>
          </w:tcPr>
          <w:p w14:paraId="1536141B">
            <w:pPr>
              <w:widowControl/>
              <w:jc w:val="center"/>
              <w:rPr>
                <w:kern w:val="0"/>
                <w:sz w:val="20"/>
                <w:szCs w:val="20"/>
              </w:rPr>
            </w:pPr>
            <w:r>
              <w:rPr>
                <w:sz w:val="20"/>
                <w:szCs w:val="20"/>
              </w:rPr>
              <w:t>（30分）</w:t>
            </w:r>
          </w:p>
        </w:tc>
        <w:tc>
          <w:tcPr>
            <w:tcW w:w="7771" w:type="dxa"/>
            <w:tcBorders>
              <w:top w:val="single" w:color="auto" w:sz="4" w:space="0"/>
              <w:left w:val="single" w:color="auto" w:sz="4" w:space="0"/>
              <w:bottom w:val="single" w:color="auto" w:sz="4" w:space="0"/>
              <w:right w:val="single" w:color="auto" w:sz="4" w:space="0"/>
            </w:tcBorders>
            <w:vAlign w:val="center"/>
          </w:tcPr>
          <w:p w14:paraId="59C91F0F">
            <w:pPr>
              <w:spacing w:line="400" w:lineRule="exact"/>
              <w:rPr>
                <w:sz w:val="20"/>
                <w:szCs w:val="20"/>
              </w:rPr>
            </w:pPr>
            <w:r>
              <w:rPr>
                <w:sz w:val="20"/>
                <w:szCs w:val="20"/>
              </w:rPr>
              <w:t>采用低价优先法计算：以满足招标文件要求且投标价格最低的投标报价为评标基准价，其价格满分30分，其他投标人的价格分按照下列公式计算：报价得分=（评标基准价/投标报价）×30。当投标报价高于本次服务预算价的，则投标报价无效。分值保留小数点后2位。</w:t>
            </w:r>
          </w:p>
        </w:tc>
      </w:tr>
      <w:tr w14:paraId="2A40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577" w:type="dxa"/>
            <w:tcBorders>
              <w:top w:val="single" w:color="auto" w:sz="4" w:space="0"/>
              <w:left w:val="single" w:color="auto" w:sz="4" w:space="0"/>
              <w:right w:val="single" w:color="auto" w:sz="4" w:space="0"/>
            </w:tcBorders>
            <w:vAlign w:val="center"/>
          </w:tcPr>
          <w:p w14:paraId="25361CC6">
            <w:pPr>
              <w:widowControl/>
              <w:jc w:val="left"/>
              <w:rPr>
                <w:kern w:val="0"/>
                <w:sz w:val="20"/>
                <w:szCs w:val="20"/>
              </w:rPr>
            </w:pPr>
            <w:r>
              <w:rPr>
                <w:kern w:val="0"/>
                <w:sz w:val="20"/>
                <w:szCs w:val="20"/>
              </w:rPr>
              <w:t>2</w:t>
            </w:r>
          </w:p>
        </w:tc>
        <w:tc>
          <w:tcPr>
            <w:tcW w:w="870" w:type="dxa"/>
            <w:tcBorders>
              <w:top w:val="single" w:color="auto" w:sz="4" w:space="0"/>
              <w:left w:val="single" w:color="auto" w:sz="4" w:space="0"/>
              <w:right w:val="single" w:color="auto" w:sz="4" w:space="0"/>
            </w:tcBorders>
            <w:vAlign w:val="center"/>
          </w:tcPr>
          <w:p w14:paraId="00969509">
            <w:pPr>
              <w:widowControl/>
              <w:jc w:val="center"/>
              <w:rPr>
                <w:sz w:val="20"/>
                <w:szCs w:val="20"/>
              </w:rPr>
            </w:pPr>
            <w:r>
              <w:rPr>
                <w:sz w:val="20"/>
                <w:szCs w:val="20"/>
              </w:rPr>
              <w:t>需求</w:t>
            </w:r>
          </w:p>
          <w:p w14:paraId="7D2CAE59">
            <w:pPr>
              <w:widowControl/>
              <w:jc w:val="center"/>
              <w:rPr>
                <w:kern w:val="0"/>
                <w:sz w:val="20"/>
                <w:szCs w:val="20"/>
              </w:rPr>
            </w:pPr>
            <w:r>
              <w:rPr>
                <w:sz w:val="20"/>
                <w:szCs w:val="20"/>
              </w:rPr>
              <w:t>分析</w:t>
            </w:r>
          </w:p>
        </w:tc>
        <w:tc>
          <w:tcPr>
            <w:tcW w:w="969" w:type="dxa"/>
            <w:tcBorders>
              <w:top w:val="single" w:color="auto" w:sz="4" w:space="0"/>
              <w:left w:val="single" w:color="auto" w:sz="4" w:space="0"/>
              <w:bottom w:val="single" w:color="auto" w:sz="4" w:space="0"/>
              <w:right w:val="single" w:color="auto" w:sz="4" w:space="0"/>
            </w:tcBorders>
            <w:vAlign w:val="center"/>
          </w:tcPr>
          <w:p w14:paraId="430CFC35">
            <w:pPr>
              <w:widowControl/>
              <w:rPr>
                <w:kern w:val="0"/>
                <w:sz w:val="20"/>
                <w:szCs w:val="20"/>
              </w:rPr>
            </w:pPr>
            <w:r>
              <w:rPr>
                <w:sz w:val="20"/>
                <w:szCs w:val="20"/>
              </w:rPr>
              <w:t>（</w:t>
            </w:r>
            <w:r>
              <w:rPr>
                <w:rFonts w:hint="eastAsia"/>
                <w:sz w:val="20"/>
                <w:szCs w:val="20"/>
              </w:rPr>
              <w:t>10</w:t>
            </w:r>
            <w:r>
              <w:rPr>
                <w:sz w:val="20"/>
                <w:szCs w:val="20"/>
              </w:rPr>
              <w:t>分）</w:t>
            </w:r>
          </w:p>
        </w:tc>
        <w:tc>
          <w:tcPr>
            <w:tcW w:w="7771" w:type="dxa"/>
            <w:tcBorders>
              <w:top w:val="single" w:color="auto" w:sz="4" w:space="0"/>
              <w:left w:val="single" w:color="auto" w:sz="4" w:space="0"/>
              <w:right w:val="single" w:color="auto" w:sz="4" w:space="0"/>
            </w:tcBorders>
            <w:vAlign w:val="center"/>
          </w:tcPr>
          <w:p w14:paraId="60319557">
            <w:pPr>
              <w:widowControl/>
              <w:spacing w:line="360" w:lineRule="auto"/>
              <w:jc w:val="left"/>
              <w:rPr>
                <w:sz w:val="20"/>
                <w:szCs w:val="20"/>
              </w:rPr>
            </w:pPr>
            <w:r>
              <w:rPr>
                <w:sz w:val="20"/>
                <w:szCs w:val="20"/>
              </w:rPr>
              <w:t>供应商提供针对采购人现状和需求的分析报告进行综合评审。</w:t>
            </w:r>
          </w:p>
          <w:p w14:paraId="51D1FD98">
            <w:pPr>
              <w:widowControl/>
              <w:spacing w:line="360" w:lineRule="auto"/>
              <w:jc w:val="left"/>
              <w:rPr>
                <w:sz w:val="20"/>
                <w:szCs w:val="20"/>
              </w:rPr>
            </w:pPr>
            <w:r>
              <w:rPr>
                <w:sz w:val="20"/>
                <w:szCs w:val="20"/>
              </w:rPr>
              <w:t>需求分析报告对采购人现状及业务、技术需求有充分认识和理解，分析科学深入，得</w:t>
            </w:r>
            <w:r>
              <w:rPr>
                <w:rFonts w:hint="eastAsia"/>
                <w:sz w:val="20"/>
                <w:szCs w:val="20"/>
              </w:rPr>
              <w:t>10</w:t>
            </w:r>
            <w:r>
              <w:rPr>
                <w:sz w:val="20"/>
                <w:szCs w:val="20"/>
              </w:rPr>
              <w:t>分。</w:t>
            </w:r>
          </w:p>
          <w:p w14:paraId="60B01CFD">
            <w:pPr>
              <w:widowControl/>
              <w:spacing w:line="360" w:lineRule="auto"/>
              <w:jc w:val="left"/>
              <w:rPr>
                <w:sz w:val="20"/>
                <w:szCs w:val="20"/>
              </w:rPr>
            </w:pPr>
            <w:r>
              <w:rPr>
                <w:sz w:val="20"/>
                <w:szCs w:val="20"/>
              </w:rPr>
              <w:t>需求分析报告对采购人现状及业务、技术需求认识和理解较充分，分析科学性较强，较深入，得</w:t>
            </w:r>
            <w:r>
              <w:rPr>
                <w:rFonts w:hint="eastAsia"/>
                <w:sz w:val="20"/>
                <w:szCs w:val="20"/>
              </w:rPr>
              <w:t>7</w:t>
            </w:r>
            <w:r>
              <w:rPr>
                <w:sz w:val="20"/>
                <w:szCs w:val="20"/>
              </w:rPr>
              <w:t>分。</w:t>
            </w:r>
          </w:p>
          <w:p w14:paraId="02EF5FBE">
            <w:pPr>
              <w:widowControl/>
              <w:spacing w:line="360" w:lineRule="auto"/>
              <w:jc w:val="left"/>
              <w:rPr>
                <w:sz w:val="20"/>
                <w:szCs w:val="20"/>
              </w:rPr>
            </w:pPr>
            <w:r>
              <w:rPr>
                <w:sz w:val="20"/>
                <w:szCs w:val="20"/>
              </w:rPr>
              <w:t>需求分析报告对采购人现状及业务、技术需求没有认识和理解，分析浅显或有不足，得</w:t>
            </w:r>
            <w:r>
              <w:rPr>
                <w:rFonts w:hint="eastAsia"/>
                <w:sz w:val="20"/>
                <w:szCs w:val="20"/>
              </w:rPr>
              <w:t>4</w:t>
            </w:r>
            <w:r>
              <w:rPr>
                <w:sz w:val="20"/>
                <w:szCs w:val="20"/>
              </w:rPr>
              <w:t>分。</w:t>
            </w:r>
          </w:p>
          <w:p w14:paraId="3012BFB8">
            <w:pPr>
              <w:widowControl/>
              <w:spacing w:line="360" w:lineRule="auto"/>
              <w:jc w:val="left"/>
              <w:rPr>
                <w:sz w:val="20"/>
                <w:szCs w:val="20"/>
              </w:rPr>
            </w:pPr>
            <w:r>
              <w:rPr>
                <w:sz w:val="20"/>
                <w:szCs w:val="20"/>
              </w:rPr>
              <w:t>有明显的不足或未提供不得分。</w:t>
            </w:r>
          </w:p>
        </w:tc>
      </w:tr>
      <w:tr w14:paraId="0F36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77" w:type="dxa"/>
            <w:tcBorders>
              <w:left w:val="single" w:color="auto" w:sz="4" w:space="0"/>
              <w:right w:val="single" w:color="auto" w:sz="4" w:space="0"/>
            </w:tcBorders>
            <w:vAlign w:val="center"/>
          </w:tcPr>
          <w:p w14:paraId="22AF6AB3">
            <w:pPr>
              <w:widowControl/>
              <w:jc w:val="left"/>
              <w:rPr>
                <w:kern w:val="0"/>
                <w:sz w:val="20"/>
                <w:szCs w:val="20"/>
              </w:rPr>
            </w:pPr>
            <w:r>
              <w:rPr>
                <w:kern w:val="0"/>
                <w:sz w:val="20"/>
                <w:szCs w:val="20"/>
              </w:rPr>
              <w:t>3</w:t>
            </w:r>
          </w:p>
        </w:tc>
        <w:tc>
          <w:tcPr>
            <w:tcW w:w="870" w:type="dxa"/>
            <w:tcBorders>
              <w:left w:val="single" w:color="auto" w:sz="4" w:space="0"/>
              <w:right w:val="single" w:color="auto" w:sz="4" w:space="0"/>
            </w:tcBorders>
            <w:vAlign w:val="center"/>
          </w:tcPr>
          <w:p w14:paraId="3796C5AD">
            <w:pPr>
              <w:widowControl/>
              <w:jc w:val="center"/>
              <w:rPr>
                <w:sz w:val="20"/>
                <w:szCs w:val="20"/>
              </w:rPr>
            </w:pPr>
            <w:r>
              <w:rPr>
                <w:sz w:val="20"/>
                <w:szCs w:val="20"/>
              </w:rPr>
              <w:t>技术</w:t>
            </w:r>
            <w:r>
              <w:rPr>
                <w:rFonts w:hint="eastAsia"/>
                <w:sz w:val="20"/>
                <w:szCs w:val="20"/>
              </w:rPr>
              <w:t xml:space="preserve"> </w:t>
            </w:r>
            <w:r>
              <w:rPr>
                <w:sz w:val="20"/>
                <w:szCs w:val="20"/>
              </w:rPr>
              <w:t>方案</w:t>
            </w:r>
          </w:p>
        </w:tc>
        <w:tc>
          <w:tcPr>
            <w:tcW w:w="969" w:type="dxa"/>
            <w:tcBorders>
              <w:left w:val="single" w:color="auto" w:sz="4" w:space="0"/>
              <w:bottom w:val="single" w:color="auto" w:sz="4" w:space="0"/>
              <w:right w:val="single" w:color="auto" w:sz="4" w:space="0"/>
            </w:tcBorders>
            <w:vAlign w:val="center"/>
          </w:tcPr>
          <w:p w14:paraId="32DE09F0">
            <w:pPr>
              <w:widowControl/>
              <w:jc w:val="center"/>
              <w:rPr>
                <w:sz w:val="20"/>
                <w:szCs w:val="20"/>
              </w:rPr>
            </w:pPr>
            <w:r>
              <w:rPr>
                <w:sz w:val="20"/>
                <w:szCs w:val="20"/>
              </w:rPr>
              <w:t>（</w:t>
            </w:r>
            <w:r>
              <w:rPr>
                <w:rFonts w:hint="eastAsia"/>
                <w:sz w:val="20"/>
                <w:szCs w:val="20"/>
              </w:rPr>
              <w:t>10</w:t>
            </w:r>
            <w:r>
              <w:rPr>
                <w:sz w:val="20"/>
                <w:szCs w:val="20"/>
              </w:rPr>
              <w:t>分）</w:t>
            </w:r>
          </w:p>
        </w:tc>
        <w:tc>
          <w:tcPr>
            <w:tcW w:w="7771" w:type="dxa"/>
            <w:tcBorders>
              <w:top w:val="single" w:color="auto" w:sz="4" w:space="0"/>
              <w:left w:val="single" w:color="auto" w:sz="4" w:space="0"/>
              <w:right w:val="single" w:color="auto" w:sz="4" w:space="0"/>
            </w:tcBorders>
            <w:vAlign w:val="center"/>
          </w:tcPr>
          <w:p w14:paraId="27B155E4">
            <w:pPr>
              <w:widowControl/>
              <w:autoSpaceDE w:val="0"/>
              <w:autoSpaceDN w:val="0"/>
              <w:spacing w:line="360" w:lineRule="auto"/>
              <w:jc w:val="left"/>
              <w:rPr>
                <w:color w:val="000000"/>
                <w:kern w:val="0"/>
                <w:sz w:val="20"/>
                <w:szCs w:val="20"/>
                <w:lang w:bidi="zh-CN"/>
              </w:rPr>
            </w:pPr>
            <w:r>
              <w:rPr>
                <w:color w:val="000000"/>
                <w:kern w:val="0"/>
                <w:sz w:val="20"/>
                <w:szCs w:val="20"/>
                <w:lang w:bidi="zh-CN"/>
              </w:rPr>
              <w:t>供应商提供的技术方案符合</w:t>
            </w:r>
            <w:r>
              <w:rPr>
                <w:rFonts w:hint="eastAsia"/>
                <w:color w:val="000000"/>
                <w:kern w:val="0"/>
                <w:sz w:val="20"/>
                <w:szCs w:val="20"/>
                <w:lang w:bidi="zh-CN"/>
              </w:rPr>
              <w:t>慢病信息采集数据处理服务</w:t>
            </w:r>
            <w:r>
              <w:rPr>
                <w:color w:val="000000"/>
                <w:kern w:val="0"/>
                <w:sz w:val="20"/>
                <w:szCs w:val="20"/>
                <w:lang w:bidi="zh-CN"/>
              </w:rPr>
              <w:t>需要</w:t>
            </w:r>
            <w:r>
              <w:rPr>
                <w:rFonts w:hint="eastAsia"/>
                <w:color w:val="000000"/>
                <w:kern w:val="0"/>
                <w:sz w:val="20"/>
                <w:szCs w:val="20"/>
                <w:lang w:bidi="zh-CN"/>
              </w:rPr>
              <w:t>。</w:t>
            </w:r>
          </w:p>
          <w:p w14:paraId="2692CA21">
            <w:pPr>
              <w:widowControl/>
              <w:numPr>
                <w:ilvl w:val="0"/>
                <w:numId w:val="1"/>
              </w:numPr>
              <w:autoSpaceDE w:val="0"/>
              <w:autoSpaceDN w:val="0"/>
              <w:spacing w:line="360" w:lineRule="auto"/>
              <w:jc w:val="left"/>
              <w:rPr>
                <w:color w:val="000000"/>
                <w:kern w:val="0"/>
                <w:sz w:val="20"/>
                <w:szCs w:val="20"/>
                <w:lang w:bidi="zh-CN"/>
              </w:rPr>
            </w:pPr>
            <w:r>
              <w:rPr>
                <w:color w:val="000000"/>
                <w:kern w:val="0"/>
                <w:sz w:val="20"/>
                <w:szCs w:val="20"/>
                <w:lang w:bidi="zh-CN"/>
              </w:rPr>
              <w:t>技术方案内容详尽、合理可行，方案整体性、可靠性、先进性、兼容性较好，业务功能需求理解深入详细得</w:t>
            </w:r>
            <w:r>
              <w:rPr>
                <w:rFonts w:hint="eastAsia"/>
                <w:color w:val="000000"/>
                <w:kern w:val="0"/>
                <w:sz w:val="20"/>
                <w:szCs w:val="20"/>
                <w:lang w:bidi="zh-CN"/>
              </w:rPr>
              <w:t>10</w:t>
            </w:r>
            <w:r>
              <w:rPr>
                <w:color w:val="000000"/>
                <w:kern w:val="0"/>
                <w:sz w:val="20"/>
                <w:szCs w:val="20"/>
                <w:lang w:bidi="zh-CN"/>
              </w:rPr>
              <w:t>分；</w:t>
            </w:r>
          </w:p>
          <w:p w14:paraId="1D6CBF6D">
            <w:pPr>
              <w:widowControl/>
              <w:numPr>
                <w:ilvl w:val="0"/>
                <w:numId w:val="1"/>
              </w:numPr>
              <w:autoSpaceDE w:val="0"/>
              <w:autoSpaceDN w:val="0"/>
              <w:spacing w:line="360" w:lineRule="auto"/>
              <w:jc w:val="left"/>
              <w:rPr>
                <w:color w:val="000000"/>
                <w:kern w:val="0"/>
                <w:sz w:val="20"/>
                <w:szCs w:val="20"/>
                <w:lang w:bidi="zh-CN"/>
              </w:rPr>
            </w:pPr>
            <w:r>
              <w:rPr>
                <w:color w:val="000000"/>
                <w:kern w:val="0"/>
                <w:sz w:val="20"/>
                <w:szCs w:val="20"/>
                <w:lang w:bidi="zh-CN"/>
              </w:rPr>
              <w:t>投标技术方案内容基本完整，方案科学、基本合理可行，基本满足用户实际使用及需求得</w:t>
            </w:r>
            <w:r>
              <w:rPr>
                <w:rFonts w:hint="eastAsia"/>
                <w:color w:val="000000"/>
                <w:kern w:val="0"/>
                <w:sz w:val="20"/>
                <w:szCs w:val="20"/>
                <w:lang w:bidi="zh-CN"/>
              </w:rPr>
              <w:t>7</w:t>
            </w:r>
            <w:r>
              <w:rPr>
                <w:color w:val="000000"/>
                <w:kern w:val="0"/>
                <w:sz w:val="20"/>
                <w:szCs w:val="20"/>
                <w:lang w:bidi="zh-CN"/>
              </w:rPr>
              <w:t>分；</w:t>
            </w:r>
          </w:p>
          <w:p w14:paraId="5E0084E3">
            <w:pPr>
              <w:widowControl/>
              <w:numPr>
                <w:ilvl w:val="0"/>
                <w:numId w:val="1"/>
              </w:numPr>
              <w:autoSpaceDE w:val="0"/>
              <w:autoSpaceDN w:val="0"/>
              <w:spacing w:line="360" w:lineRule="auto"/>
              <w:jc w:val="left"/>
              <w:rPr>
                <w:color w:val="000000"/>
                <w:kern w:val="0"/>
                <w:sz w:val="20"/>
                <w:szCs w:val="20"/>
                <w:lang w:bidi="zh-CN"/>
              </w:rPr>
            </w:pPr>
            <w:r>
              <w:rPr>
                <w:color w:val="000000"/>
                <w:kern w:val="0"/>
                <w:sz w:val="20"/>
                <w:szCs w:val="20"/>
                <w:lang w:bidi="zh-CN"/>
              </w:rPr>
              <w:t>供应商仅能提供投标技术方案，且内容简单粗略、对服务理解不够详细，片面表达的方案，</w:t>
            </w:r>
            <w:r>
              <w:rPr>
                <w:sz w:val="20"/>
                <w:szCs w:val="20"/>
                <w:lang w:bidi="zh-CN"/>
              </w:rPr>
              <w:t>得</w:t>
            </w:r>
            <w:r>
              <w:rPr>
                <w:rFonts w:hint="eastAsia"/>
                <w:sz w:val="20"/>
                <w:szCs w:val="20"/>
                <w:lang w:bidi="zh-CN"/>
              </w:rPr>
              <w:t>4</w:t>
            </w:r>
            <w:r>
              <w:rPr>
                <w:sz w:val="20"/>
                <w:szCs w:val="20"/>
                <w:lang w:bidi="zh-CN"/>
              </w:rPr>
              <w:t>分</w:t>
            </w:r>
            <w:r>
              <w:rPr>
                <w:color w:val="000000"/>
                <w:kern w:val="0"/>
                <w:sz w:val="20"/>
                <w:szCs w:val="20"/>
                <w:lang w:bidi="zh-CN"/>
              </w:rPr>
              <w:t>；</w:t>
            </w:r>
          </w:p>
          <w:p w14:paraId="22DA9A80">
            <w:pPr>
              <w:widowControl/>
              <w:numPr>
                <w:ilvl w:val="0"/>
                <w:numId w:val="1"/>
              </w:numPr>
              <w:autoSpaceDE w:val="0"/>
              <w:autoSpaceDN w:val="0"/>
              <w:spacing w:line="360" w:lineRule="auto"/>
              <w:jc w:val="left"/>
              <w:rPr>
                <w:color w:val="000000"/>
                <w:kern w:val="0"/>
                <w:sz w:val="20"/>
                <w:szCs w:val="20"/>
                <w:lang w:bidi="zh-CN"/>
              </w:rPr>
            </w:pPr>
            <w:r>
              <w:rPr>
                <w:rFonts w:hint="eastAsia"/>
                <w:color w:val="000000"/>
                <w:kern w:val="0"/>
                <w:sz w:val="20"/>
                <w:szCs w:val="20"/>
                <w:lang w:bidi="zh-CN"/>
              </w:rPr>
              <w:t>方案不能满足需求或</w:t>
            </w:r>
            <w:r>
              <w:rPr>
                <w:color w:val="000000"/>
                <w:kern w:val="0"/>
                <w:sz w:val="20"/>
                <w:szCs w:val="20"/>
                <w:lang w:bidi="zh-CN"/>
              </w:rPr>
              <w:t>未提供不得分。</w:t>
            </w:r>
          </w:p>
        </w:tc>
      </w:tr>
      <w:tr w14:paraId="604C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77" w:type="dxa"/>
            <w:tcBorders>
              <w:left w:val="single" w:color="auto" w:sz="4" w:space="0"/>
              <w:right w:val="single" w:color="auto" w:sz="4" w:space="0"/>
            </w:tcBorders>
            <w:vAlign w:val="center"/>
          </w:tcPr>
          <w:p w14:paraId="6BBC7367">
            <w:pPr>
              <w:widowControl/>
              <w:jc w:val="left"/>
              <w:rPr>
                <w:kern w:val="0"/>
                <w:sz w:val="20"/>
                <w:szCs w:val="20"/>
              </w:rPr>
            </w:pPr>
            <w:r>
              <w:rPr>
                <w:kern w:val="0"/>
                <w:sz w:val="20"/>
                <w:szCs w:val="20"/>
              </w:rPr>
              <w:t>4</w:t>
            </w:r>
          </w:p>
        </w:tc>
        <w:tc>
          <w:tcPr>
            <w:tcW w:w="870" w:type="dxa"/>
            <w:tcBorders>
              <w:left w:val="single" w:color="auto" w:sz="4" w:space="0"/>
              <w:right w:val="single" w:color="auto" w:sz="4" w:space="0"/>
            </w:tcBorders>
            <w:vAlign w:val="center"/>
          </w:tcPr>
          <w:p w14:paraId="3A3A860D">
            <w:pPr>
              <w:widowControl/>
              <w:jc w:val="center"/>
              <w:rPr>
                <w:color w:val="000000"/>
                <w:kern w:val="0"/>
                <w:sz w:val="20"/>
                <w:szCs w:val="20"/>
              </w:rPr>
            </w:pPr>
            <w:r>
              <w:rPr>
                <w:sz w:val="20"/>
                <w:szCs w:val="20"/>
              </w:rPr>
              <w:t>实施</w:t>
            </w:r>
            <w:r>
              <w:rPr>
                <w:rFonts w:hint="eastAsia"/>
                <w:sz w:val="20"/>
                <w:szCs w:val="20"/>
              </w:rPr>
              <w:t xml:space="preserve"> </w:t>
            </w:r>
            <w:r>
              <w:rPr>
                <w:sz w:val="20"/>
                <w:szCs w:val="20"/>
              </w:rPr>
              <w:t>方案</w:t>
            </w:r>
          </w:p>
        </w:tc>
        <w:tc>
          <w:tcPr>
            <w:tcW w:w="969" w:type="dxa"/>
            <w:tcBorders>
              <w:left w:val="single" w:color="auto" w:sz="4" w:space="0"/>
              <w:bottom w:val="single" w:color="auto" w:sz="4" w:space="0"/>
              <w:right w:val="single" w:color="auto" w:sz="4" w:space="0"/>
            </w:tcBorders>
            <w:vAlign w:val="center"/>
          </w:tcPr>
          <w:p w14:paraId="62DDA19D">
            <w:pPr>
              <w:widowControl/>
              <w:jc w:val="center"/>
              <w:rPr>
                <w:sz w:val="20"/>
                <w:szCs w:val="20"/>
              </w:rPr>
            </w:pPr>
            <w:r>
              <w:rPr>
                <w:sz w:val="20"/>
                <w:szCs w:val="20"/>
              </w:rPr>
              <w:t>（10分）</w:t>
            </w:r>
          </w:p>
        </w:tc>
        <w:tc>
          <w:tcPr>
            <w:tcW w:w="7771" w:type="dxa"/>
            <w:tcBorders>
              <w:top w:val="single" w:color="auto" w:sz="4" w:space="0"/>
              <w:left w:val="single" w:color="auto" w:sz="4" w:space="0"/>
              <w:right w:val="single" w:color="auto" w:sz="4" w:space="0"/>
            </w:tcBorders>
            <w:vAlign w:val="center"/>
          </w:tcPr>
          <w:p w14:paraId="5329804C">
            <w:pPr>
              <w:widowControl/>
              <w:spacing w:line="360" w:lineRule="auto"/>
              <w:jc w:val="left"/>
              <w:rPr>
                <w:sz w:val="20"/>
                <w:szCs w:val="20"/>
              </w:rPr>
            </w:pPr>
            <w:r>
              <w:rPr>
                <w:sz w:val="20"/>
                <w:szCs w:val="20"/>
              </w:rPr>
              <w:t>实施方案全面，有合理的进度安排、组织架构，具有良好的进度控制、风险控制管理、质量保障措施、数据安全管理措施、文档管理措施，得10分；</w:t>
            </w:r>
          </w:p>
          <w:p w14:paraId="211C5C61">
            <w:pPr>
              <w:widowControl/>
              <w:spacing w:line="360" w:lineRule="auto"/>
              <w:jc w:val="left"/>
              <w:rPr>
                <w:sz w:val="20"/>
                <w:szCs w:val="20"/>
              </w:rPr>
            </w:pPr>
            <w:r>
              <w:rPr>
                <w:sz w:val="20"/>
                <w:szCs w:val="20"/>
              </w:rPr>
              <w:t>实施方案基本全面，进度安排、组织架构，进度控制、风险控制管理、质量保障措施、数据安全管理措施、文档管理措施基本合理，得7分；</w:t>
            </w:r>
          </w:p>
          <w:p w14:paraId="25B4A346">
            <w:pPr>
              <w:widowControl/>
              <w:spacing w:line="360" w:lineRule="auto"/>
              <w:jc w:val="left"/>
              <w:rPr>
                <w:sz w:val="20"/>
                <w:szCs w:val="20"/>
              </w:rPr>
            </w:pPr>
            <w:r>
              <w:rPr>
                <w:sz w:val="20"/>
                <w:szCs w:val="20"/>
              </w:rPr>
              <w:t>实施方案不全面，进度安排、组织架构、进度控制、风险控制管理、质量保障措施、数据安全管理措施、文档管理措施等有欠缺，得4分；</w:t>
            </w:r>
          </w:p>
          <w:p w14:paraId="4302D6F6">
            <w:pPr>
              <w:widowControl/>
              <w:spacing w:line="360" w:lineRule="auto"/>
              <w:jc w:val="left"/>
              <w:rPr>
                <w:sz w:val="20"/>
                <w:szCs w:val="20"/>
              </w:rPr>
            </w:pPr>
            <w:r>
              <w:rPr>
                <w:rFonts w:hint="eastAsia"/>
                <w:color w:val="000000"/>
                <w:kern w:val="0"/>
                <w:sz w:val="20"/>
                <w:szCs w:val="20"/>
                <w:lang w:bidi="zh-CN"/>
              </w:rPr>
              <w:t>不能满足需要或者</w:t>
            </w:r>
            <w:r>
              <w:rPr>
                <w:color w:val="000000"/>
                <w:kern w:val="0"/>
                <w:sz w:val="20"/>
                <w:szCs w:val="20"/>
                <w:lang w:bidi="zh-CN"/>
              </w:rPr>
              <w:t>未提供不得分。</w:t>
            </w:r>
          </w:p>
        </w:tc>
      </w:tr>
      <w:tr w14:paraId="189A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77" w:type="dxa"/>
            <w:tcBorders>
              <w:left w:val="single" w:color="auto" w:sz="4" w:space="0"/>
              <w:right w:val="single" w:color="auto" w:sz="4" w:space="0"/>
            </w:tcBorders>
            <w:vAlign w:val="center"/>
          </w:tcPr>
          <w:p w14:paraId="5F5242AC">
            <w:pPr>
              <w:widowControl/>
              <w:jc w:val="left"/>
              <w:rPr>
                <w:kern w:val="0"/>
                <w:sz w:val="20"/>
                <w:szCs w:val="20"/>
              </w:rPr>
            </w:pPr>
            <w:r>
              <w:rPr>
                <w:rFonts w:hint="eastAsia"/>
                <w:kern w:val="0"/>
                <w:sz w:val="20"/>
                <w:szCs w:val="20"/>
              </w:rPr>
              <w:t>5</w:t>
            </w:r>
          </w:p>
        </w:tc>
        <w:tc>
          <w:tcPr>
            <w:tcW w:w="870" w:type="dxa"/>
            <w:tcBorders>
              <w:left w:val="single" w:color="auto" w:sz="4" w:space="0"/>
              <w:right w:val="single" w:color="auto" w:sz="4" w:space="0"/>
            </w:tcBorders>
            <w:vAlign w:val="center"/>
          </w:tcPr>
          <w:p w14:paraId="18E68BEF">
            <w:pPr>
              <w:widowControl/>
              <w:jc w:val="center"/>
              <w:rPr>
                <w:sz w:val="20"/>
                <w:szCs w:val="20"/>
              </w:rPr>
            </w:pPr>
            <w:r>
              <w:rPr>
                <w:sz w:val="20"/>
                <w:szCs w:val="20"/>
              </w:rPr>
              <w:t>培训</w:t>
            </w:r>
            <w:r>
              <w:rPr>
                <w:rFonts w:hint="eastAsia"/>
                <w:sz w:val="20"/>
                <w:szCs w:val="20"/>
              </w:rPr>
              <w:t xml:space="preserve"> </w:t>
            </w:r>
            <w:r>
              <w:rPr>
                <w:sz w:val="20"/>
                <w:szCs w:val="20"/>
              </w:rPr>
              <w:t>方案</w:t>
            </w:r>
          </w:p>
        </w:tc>
        <w:tc>
          <w:tcPr>
            <w:tcW w:w="969" w:type="dxa"/>
            <w:tcBorders>
              <w:left w:val="single" w:color="auto" w:sz="4" w:space="0"/>
              <w:bottom w:val="single" w:color="auto" w:sz="4" w:space="0"/>
              <w:right w:val="single" w:color="auto" w:sz="4" w:space="0"/>
            </w:tcBorders>
            <w:vAlign w:val="center"/>
          </w:tcPr>
          <w:p w14:paraId="06E6A965">
            <w:pPr>
              <w:widowControl/>
              <w:jc w:val="center"/>
              <w:rPr>
                <w:sz w:val="20"/>
                <w:szCs w:val="20"/>
              </w:rPr>
            </w:pPr>
            <w:r>
              <w:rPr>
                <w:sz w:val="20"/>
                <w:szCs w:val="20"/>
              </w:rPr>
              <w:t>（10分）</w:t>
            </w:r>
          </w:p>
        </w:tc>
        <w:tc>
          <w:tcPr>
            <w:tcW w:w="7771" w:type="dxa"/>
            <w:tcBorders>
              <w:top w:val="single" w:color="auto" w:sz="4" w:space="0"/>
              <w:left w:val="single" w:color="auto" w:sz="4" w:space="0"/>
              <w:right w:val="single" w:color="auto" w:sz="4" w:space="0"/>
            </w:tcBorders>
            <w:vAlign w:val="center"/>
          </w:tcPr>
          <w:p w14:paraId="48465CF3">
            <w:pPr>
              <w:widowControl/>
              <w:spacing w:line="360" w:lineRule="auto"/>
              <w:jc w:val="left"/>
              <w:rPr>
                <w:sz w:val="20"/>
                <w:szCs w:val="20"/>
              </w:rPr>
            </w:pPr>
            <w:r>
              <w:rPr>
                <w:sz w:val="20"/>
                <w:szCs w:val="20"/>
              </w:rPr>
              <w:t>培训方案全面合理有效，具有详细的培训计划、培训师资力量、培训内容，得10分。</w:t>
            </w:r>
          </w:p>
          <w:p w14:paraId="4D5CC210">
            <w:pPr>
              <w:widowControl/>
              <w:spacing w:line="360" w:lineRule="auto"/>
              <w:jc w:val="left"/>
              <w:rPr>
                <w:sz w:val="20"/>
                <w:szCs w:val="20"/>
              </w:rPr>
            </w:pPr>
            <w:r>
              <w:rPr>
                <w:sz w:val="20"/>
                <w:szCs w:val="20"/>
              </w:rPr>
              <w:t>培训方案不够全面，效性一般，培训计划、培训师资力量、培训内容基本合理，一般详细，得7分。</w:t>
            </w:r>
          </w:p>
          <w:p w14:paraId="7E9E04C2">
            <w:pPr>
              <w:widowControl/>
              <w:spacing w:line="360" w:lineRule="auto"/>
              <w:jc w:val="left"/>
              <w:rPr>
                <w:sz w:val="20"/>
                <w:szCs w:val="20"/>
              </w:rPr>
            </w:pPr>
            <w:r>
              <w:rPr>
                <w:sz w:val="20"/>
                <w:szCs w:val="20"/>
              </w:rPr>
              <w:t>培训方案片面，有效性欠缺，培训计划、培训师资力量、培训内容不够详细，得4分。</w:t>
            </w:r>
          </w:p>
          <w:p w14:paraId="2697E26A">
            <w:pPr>
              <w:widowControl/>
              <w:spacing w:line="360" w:lineRule="auto"/>
              <w:jc w:val="left"/>
            </w:pPr>
            <w:r>
              <w:rPr>
                <w:sz w:val="20"/>
                <w:szCs w:val="20"/>
              </w:rPr>
              <w:t>培训方案片面，不具有执行有效性，培训计划、培训师资力量、培训内容不详细或不合理，</w:t>
            </w:r>
            <w:r>
              <w:rPr>
                <w:rFonts w:hint="eastAsia"/>
                <w:sz w:val="20"/>
                <w:szCs w:val="20"/>
              </w:rPr>
              <w:t>或未提供</w:t>
            </w:r>
            <w:r>
              <w:rPr>
                <w:sz w:val="20"/>
                <w:szCs w:val="20"/>
              </w:rPr>
              <w:t>不得分。</w:t>
            </w:r>
          </w:p>
        </w:tc>
      </w:tr>
      <w:tr w14:paraId="420F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577" w:type="dxa"/>
            <w:tcBorders>
              <w:left w:val="single" w:color="auto" w:sz="4" w:space="0"/>
              <w:right w:val="single" w:color="auto" w:sz="4" w:space="0"/>
            </w:tcBorders>
            <w:vAlign w:val="center"/>
          </w:tcPr>
          <w:p w14:paraId="462874E9">
            <w:pPr>
              <w:widowControl/>
              <w:jc w:val="left"/>
              <w:rPr>
                <w:kern w:val="0"/>
                <w:sz w:val="20"/>
                <w:szCs w:val="20"/>
              </w:rPr>
            </w:pPr>
            <w:r>
              <w:rPr>
                <w:rFonts w:hint="eastAsia"/>
                <w:kern w:val="0"/>
                <w:sz w:val="20"/>
                <w:szCs w:val="20"/>
              </w:rPr>
              <w:t>6</w:t>
            </w:r>
          </w:p>
        </w:tc>
        <w:tc>
          <w:tcPr>
            <w:tcW w:w="870" w:type="dxa"/>
            <w:tcBorders>
              <w:left w:val="single" w:color="auto" w:sz="4" w:space="0"/>
              <w:right w:val="single" w:color="auto" w:sz="4" w:space="0"/>
            </w:tcBorders>
            <w:vAlign w:val="center"/>
          </w:tcPr>
          <w:p w14:paraId="7D8468E8">
            <w:pPr>
              <w:widowControl/>
              <w:jc w:val="center"/>
              <w:rPr>
                <w:rFonts w:hint="eastAsia"/>
                <w:sz w:val="20"/>
                <w:szCs w:val="20"/>
              </w:rPr>
            </w:pPr>
            <w:r>
              <w:rPr>
                <w:rFonts w:hint="eastAsia"/>
                <w:sz w:val="20"/>
                <w:szCs w:val="20"/>
              </w:rPr>
              <w:t>系统</w:t>
            </w:r>
          </w:p>
          <w:p w14:paraId="335C64ED">
            <w:pPr>
              <w:widowControl/>
              <w:jc w:val="center"/>
              <w:rPr>
                <w:sz w:val="20"/>
                <w:szCs w:val="20"/>
              </w:rPr>
            </w:pPr>
            <w:r>
              <w:rPr>
                <w:rFonts w:hint="eastAsia"/>
                <w:sz w:val="20"/>
                <w:szCs w:val="20"/>
              </w:rPr>
              <w:t>对接</w:t>
            </w:r>
          </w:p>
        </w:tc>
        <w:tc>
          <w:tcPr>
            <w:tcW w:w="969" w:type="dxa"/>
            <w:tcBorders>
              <w:left w:val="single" w:color="auto" w:sz="4" w:space="0"/>
              <w:bottom w:val="single" w:color="auto" w:sz="4" w:space="0"/>
              <w:right w:val="single" w:color="auto" w:sz="4" w:space="0"/>
            </w:tcBorders>
            <w:vAlign w:val="center"/>
          </w:tcPr>
          <w:p w14:paraId="5D75AE83">
            <w:pPr>
              <w:widowControl/>
              <w:jc w:val="center"/>
              <w:rPr>
                <w:sz w:val="20"/>
                <w:szCs w:val="20"/>
              </w:rPr>
            </w:pPr>
            <w:r>
              <w:rPr>
                <w:rFonts w:hint="eastAsia"/>
                <w:sz w:val="20"/>
                <w:szCs w:val="20"/>
              </w:rPr>
              <w:t>（5分）</w:t>
            </w:r>
          </w:p>
        </w:tc>
        <w:tc>
          <w:tcPr>
            <w:tcW w:w="7771" w:type="dxa"/>
            <w:tcBorders>
              <w:top w:val="single" w:color="auto" w:sz="4" w:space="0"/>
              <w:left w:val="single" w:color="auto" w:sz="4" w:space="0"/>
              <w:right w:val="single" w:color="auto" w:sz="4" w:space="0"/>
            </w:tcBorders>
            <w:vAlign w:val="center"/>
          </w:tcPr>
          <w:p w14:paraId="51FA812E">
            <w:pPr>
              <w:widowControl/>
              <w:spacing w:line="360" w:lineRule="auto"/>
              <w:jc w:val="left"/>
              <w:rPr>
                <w:sz w:val="20"/>
                <w:szCs w:val="20"/>
              </w:rPr>
            </w:pPr>
            <w:r>
              <w:rPr>
                <w:rFonts w:hint="eastAsia"/>
                <w:sz w:val="20"/>
                <w:szCs w:val="20"/>
              </w:rPr>
              <w:t>供应商支持对接“数字慢性病综合管理系统”，同时承诺期间对接</w:t>
            </w:r>
            <w:r>
              <w:rPr>
                <w:rFonts w:hint="eastAsia"/>
                <w:sz w:val="20"/>
                <w:szCs w:val="20"/>
                <w:lang w:val="en-US" w:eastAsia="zh-CN"/>
              </w:rPr>
              <w:t>数据安全</w:t>
            </w:r>
            <w:r>
              <w:rPr>
                <w:rFonts w:hint="eastAsia"/>
                <w:sz w:val="20"/>
                <w:szCs w:val="20"/>
              </w:rPr>
              <w:t>，产生的任何费用由供应商承担。未提供对接承诺函，该项不得分。</w:t>
            </w:r>
          </w:p>
        </w:tc>
      </w:tr>
      <w:tr w14:paraId="6085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577" w:type="dxa"/>
            <w:tcBorders>
              <w:left w:val="single" w:color="auto" w:sz="4" w:space="0"/>
              <w:right w:val="single" w:color="auto" w:sz="4" w:space="0"/>
            </w:tcBorders>
            <w:vAlign w:val="center"/>
          </w:tcPr>
          <w:p w14:paraId="47C5512C">
            <w:pPr>
              <w:widowControl/>
              <w:jc w:val="left"/>
              <w:rPr>
                <w:kern w:val="0"/>
                <w:sz w:val="20"/>
                <w:szCs w:val="20"/>
              </w:rPr>
            </w:pPr>
            <w:r>
              <w:rPr>
                <w:rFonts w:hint="eastAsia"/>
                <w:kern w:val="0"/>
                <w:sz w:val="20"/>
                <w:szCs w:val="20"/>
              </w:rPr>
              <w:t>7</w:t>
            </w:r>
          </w:p>
        </w:tc>
        <w:tc>
          <w:tcPr>
            <w:tcW w:w="870" w:type="dxa"/>
            <w:tcBorders>
              <w:left w:val="single" w:color="auto" w:sz="4" w:space="0"/>
              <w:right w:val="single" w:color="auto" w:sz="4" w:space="0"/>
            </w:tcBorders>
            <w:vAlign w:val="center"/>
          </w:tcPr>
          <w:p w14:paraId="62890FA2">
            <w:pPr>
              <w:widowControl/>
              <w:jc w:val="center"/>
              <w:rPr>
                <w:rFonts w:hint="eastAsia"/>
                <w:sz w:val="20"/>
                <w:szCs w:val="20"/>
                <w:lang w:val="en-US" w:eastAsia="zh-CN"/>
              </w:rPr>
            </w:pPr>
            <w:r>
              <w:rPr>
                <w:rFonts w:hint="eastAsia"/>
                <w:sz w:val="20"/>
                <w:szCs w:val="20"/>
                <w:lang w:val="en-US" w:eastAsia="zh-CN"/>
              </w:rPr>
              <w:t>能力</w:t>
            </w:r>
          </w:p>
          <w:p w14:paraId="0C54EF91">
            <w:pPr>
              <w:widowControl/>
              <w:jc w:val="center"/>
              <w:rPr>
                <w:sz w:val="20"/>
                <w:szCs w:val="20"/>
              </w:rPr>
            </w:pPr>
            <w:r>
              <w:rPr>
                <w:sz w:val="20"/>
                <w:szCs w:val="20"/>
                <w:lang w:eastAsia="zh-Hans"/>
              </w:rPr>
              <w:t>认证</w:t>
            </w:r>
          </w:p>
        </w:tc>
        <w:tc>
          <w:tcPr>
            <w:tcW w:w="969" w:type="dxa"/>
            <w:tcBorders>
              <w:left w:val="single" w:color="auto" w:sz="4" w:space="0"/>
              <w:bottom w:val="single" w:color="auto" w:sz="4" w:space="0"/>
              <w:right w:val="single" w:color="auto" w:sz="4" w:space="0"/>
            </w:tcBorders>
            <w:vAlign w:val="center"/>
          </w:tcPr>
          <w:p w14:paraId="6B7F2753">
            <w:pPr>
              <w:widowControl/>
              <w:jc w:val="center"/>
              <w:rPr>
                <w:sz w:val="20"/>
                <w:szCs w:val="20"/>
              </w:rPr>
            </w:pPr>
            <w:r>
              <w:rPr>
                <w:sz w:val="20"/>
                <w:szCs w:val="20"/>
              </w:rPr>
              <w:t>（11分）</w:t>
            </w:r>
          </w:p>
        </w:tc>
        <w:tc>
          <w:tcPr>
            <w:tcW w:w="7771" w:type="dxa"/>
            <w:tcBorders>
              <w:top w:val="single" w:color="auto" w:sz="4" w:space="0"/>
              <w:left w:val="single" w:color="auto" w:sz="4" w:space="0"/>
              <w:right w:val="single" w:color="auto" w:sz="4" w:space="0"/>
            </w:tcBorders>
            <w:shd w:val="clear" w:color="auto" w:fill="auto"/>
            <w:vAlign w:val="center"/>
          </w:tcPr>
          <w:p w14:paraId="18338091">
            <w:pPr>
              <w:widowControl/>
              <w:spacing w:line="360" w:lineRule="auto"/>
              <w:jc w:val="left"/>
              <w:rPr>
                <w:sz w:val="20"/>
                <w:szCs w:val="20"/>
                <w:lang w:bidi="ar"/>
              </w:rPr>
            </w:pPr>
            <w:r>
              <w:rPr>
                <w:sz w:val="20"/>
                <w:szCs w:val="20"/>
                <w:lang w:bidi="ar"/>
              </w:rPr>
              <w:t>供应商提供有效期内</w:t>
            </w:r>
            <w:r>
              <w:rPr>
                <w:rFonts w:hint="eastAsia"/>
                <w:sz w:val="20"/>
                <w:szCs w:val="20"/>
                <w:lang w:bidi="ar"/>
              </w:rPr>
              <w:t>信息安全管理体系认证证书</w:t>
            </w:r>
            <w:r>
              <w:rPr>
                <w:sz w:val="20"/>
                <w:szCs w:val="20"/>
                <w:lang w:bidi="ar"/>
              </w:rPr>
              <w:t>，得3分；</w:t>
            </w:r>
          </w:p>
          <w:p w14:paraId="7F91FB00">
            <w:pPr>
              <w:widowControl/>
              <w:spacing w:line="360" w:lineRule="auto"/>
              <w:jc w:val="left"/>
              <w:rPr>
                <w:sz w:val="20"/>
                <w:szCs w:val="20"/>
                <w:lang w:bidi="ar"/>
              </w:rPr>
            </w:pPr>
            <w:r>
              <w:rPr>
                <w:sz w:val="20"/>
                <w:szCs w:val="20"/>
                <w:lang w:bidi="ar"/>
              </w:rPr>
              <w:t>供应商提供有效期内信息技术服务标准ITSS 运行维护 3级及以上证书，得2分；</w:t>
            </w:r>
          </w:p>
          <w:p w14:paraId="0A60B8A1">
            <w:pPr>
              <w:widowControl/>
              <w:spacing w:line="360" w:lineRule="auto"/>
              <w:jc w:val="left"/>
            </w:pPr>
            <w:r>
              <w:rPr>
                <w:sz w:val="20"/>
                <w:szCs w:val="20"/>
                <w:lang w:bidi="ar"/>
              </w:rPr>
              <w:t>供应商提供有效期内知识产权管理体系认证，得3分；</w:t>
            </w:r>
          </w:p>
          <w:p w14:paraId="081DC900">
            <w:pPr>
              <w:widowControl/>
              <w:spacing w:line="360" w:lineRule="auto"/>
              <w:jc w:val="left"/>
              <w:rPr>
                <w:sz w:val="20"/>
                <w:szCs w:val="20"/>
                <w:lang w:bidi="ar"/>
              </w:rPr>
            </w:pPr>
            <w:r>
              <w:rPr>
                <w:sz w:val="20"/>
                <w:szCs w:val="20"/>
                <w:lang w:bidi="ar"/>
              </w:rPr>
              <w:t>供应商提供有效期内质量管理体系认证证书，得3分；</w:t>
            </w:r>
          </w:p>
        </w:tc>
      </w:tr>
      <w:tr w14:paraId="2E4A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6DB68FB8">
            <w:pPr>
              <w:widowControl/>
              <w:jc w:val="left"/>
              <w:rPr>
                <w:kern w:val="0"/>
                <w:sz w:val="20"/>
                <w:szCs w:val="20"/>
              </w:rPr>
            </w:pPr>
            <w:r>
              <w:rPr>
                <w:rFonts w:hint="eastAsia"/>
                <w:kern w:val="0"/>
                <w:sz w:val="20"/>
                <w:szCs w:val="20"/>
              </w:rPr>
              <w:t>8</w:t>
            </w:r>
          </w:p>
        </w:tc>
        <w:tc>
          <w:tcPr>
            <w:tcW w:w="870" w:type="dxa"/>
            <w:tcBorders>
              <w:top w:val="single" w:color="auto" w:sz="4" w:space="0"/>
              <w:left w:val="single" w:color="auto" w:sz="4" w:space="0"/>
              <w:bottom w:val="single" w:color="auto" w:sz="4" w:space="0"/>
              <w:right w:val="single" w:color="auto" w:sz="4" w:space="0"/>
            </w:tcBorders>
            <w:vAlign w:val="center"/>
          </w:tcPr>
          <w:p w14:paraId="47EF1BD8">
            <w:pPr>
              <w:widowControl/>
              <w:jc w:val="center"/>
              <w:rPr>
                <w:kern w:val="0"/>
                <w:sz w:val="20"/>
                <w:szCs w:val="20"/>
              </w:rPr>
            </w:pPr>
            <w:r>
              <w:rPr>
                <w:kern w:val="0"/>
                <w:sz w:val="20"/>
                <w:szCs w:val="20"/>
              </w:rPr>
              <w:t>业绩</w:t>
            </w:r>
          </w:p>
        </w:tc>
        <w:tc>
          <w:tcPr>
            <w:tcW w:w="969" w:type="dxa"/>
            <w:tcBorders>
              <w:top w:val="single" w:color="auto" w:sz="4" w:space="0"/>
              <w:left w:val="single" w:color="auto" w:sz="4" w:space="0"/>
              <w:bottom w:val="single" w:color="auto" w:sz="4" w:space="0"/>
              <w:right w:val="single" w:color="auto" w:sz="4" w:space="0"/>
            </w:tcBorders>
            <w:vAlign w:val="center"/>
          </w:tcPr>
          <w:p w14:paraId="2483F33C">
            <w:pPr>
              <w:widowControl/>
              <w:jc w:val="center"/>
              <w:rPr>
                <w:kern w:val="0"/>
                <w:sz w:val="20"/>
                <w:szCs w:val="20"/>
              </w:rPr>
            </w:pPr>
            <w:r>
              <w:rPr>
                <w:kern w:val="0"/>
                <w:sz w:val="20"/>
                <w:szCs w:val="20"/>
              </w:rPr>
              <w:t>（4分）</w:t>
            </w:r>
          </w:p>
        </w:tc>
        <w:tc>
          <w:tcPr>
            <w:tcW w:w="7771" w:type="dxa"/>
            <w:tcBorders>
              <w:top w:val="single" w:color="auto" w:sz="4" w:space="0"/>
              <w:left w:val="single" w:color="auto" w:sz="4" w:space="0"/>
              <w:bottom w:val="single" w:color="auto" w:sz="4" w:space="0"/>
              <w:right w:val="single" w:color="auto" w:sz="4" w:space="0"/>
            </w:tcBorders>
            <w:vAlign w:val="center"/>
          </w:tcPr>
          <w:p w14:paraId="6AFE5623">
            <w:pPr>
              <w:rPr>
                <w:kern w:val="0"/>
                <w:sz w:val="20"/>
                <w:szCs w:val="20"/>
              </w:rPr>
            </w:pPr>
            <w:r>
              <w:rPr>
                <w:rFonts w:hint="eastAsia"/>
                <w:kern w:val="0"/>
                <w:sz w:val="20"/>
                <w:szCs w:val="20"/>
              </w:rPr>
              <w:t>2021</w:t>
            </w:r>
            <w:r>
              <w:rPr>
                <w:kern w:val="0"/>
                <w:sz w:val="20"/>
                <w:szCs w:val="20"/>
              </w:rPr>
              <w:t>年</w:t>
            </w:r>
            <w:r>
              <w:rPr>
                <w:rFonts w:hint="eastAsia"/>
                <w:kern w:val="0"/>
                <w:sz w:val="20"/>
                <w:szCs w:val="20"/>
              </w:rPr>
              <w:t>1</w:t>
            </w:r>
            <w:r>
              <w:rPr>
                <w:kern w:val="0"/>
                <w:sz w:val="20"/>
                <w:szCs w:val="20"/>
              </w:rPr>
              <w:t>月以来，投标人具有类似数据对接服务、</w:t>
            </w:r>
            <w:r>
              <w:rPr>
                <w:rFonts w:hint="eastAsia"/>
                <w:kern w:val="0"/>
                <w:sz w:val="20"/>
                <w:szCs w:val="20"/>
              </w:rPr>
              <w:t>数据处理</w:t>
            </w:r>
            <w:r>
              <w:rPr>
                <w:kern w:val="0"/>
                <w:sz w:val="20"/>
                <w:szCs w:val="20"/>
              </w:rPr>
              <w:t>服务的案例，每个得2分,此项最多得4分。</w:t>
            </w:r>
            <w:r>
              <w:rPr>
                <w:b/>
                <w:bCs/>
                <w:kern w:val="0"/>
                <w:sz w:val="20"/>
                <w:szCs w:val="20"/>
              </w:rPr>
              <w:t>（须提供相应的政府采购中标通知书或合同复印件加盖公章）</w:t>
            </w:r>
          </w:p>
        </w:tc>
      </w:tr>
      <w:tr w14:paraId="075E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0304AAE4">
            <w:pPr>
              <w:widowControl/>
              <w:jc w:val="left"/>
              <w:rPr>
                <w:kern w:val="0"/>
                <w:sz w:val="20"/>
                <w:szCs w:val="20"/>
              </w:rPr>
            </w:pPr>
            <w:r>
              <w:rPr>
                <w:rFonts w:hint="eastAsia"/>
                <w:kern w:val="0"/>
                <w:sz w:val="20"/>
                <w:szCs w:val="20"/>
              </w:rPr>
              <w:t>9</w:t>
            </w:r>
          </w:p>
        </w:tc>
        <w:tc>
          <w:tcPr>
            <w:tcW w:w="870" w:type="dxa"/>
            <w:tcBorders>
              <w:top w:val="single" w:color="auto" w:sz="4" w:space="0"/>
              <w:left w:val="single" w:color="auto" w:sz="4" w:space="0"/>
              <w:bottom w:val="single" w:color="auto" w:sz="4" w:space="0"/>
              <w:right w:val="single" w:color="auto" w:sz="4" w:space="0"/>
            </w:tcBorders>
            <w:vAlign w:val="center"/>
          </w:tcPr>
          <w:p w14:paraId="70AEE788">
            <w:pPr>
              <w:widowControl/>
              <w:jc w:val="center"/>
              <w:rPr>
                <w:kern w:val="0"/>
                <w:sz w:val="20"/>
                <w:szCs w:val="20"/>
              </w:rPr>
            </w:pPr>
            <w:r>
              <w:rPr>
                <w:rFonts w:hint="eastAsia"/>
                <w:kern w:val="0"/>
                <w:sz w:val="20"/>
                <w:szCs w:val="20"/>
                <w:lang w:val="en-US" w:eastAsia="zh-CN"/>
              </w:rPr>
              <w:t>团队</w:t>
            </w:r>
            <w:r>
              <w:rPr>
                <w:kern w:val="0"/>
                <w:sz w:val="20"/>
                <w:szCs w:val="20"/>
              </w:rPr>
              <w:t>人员能力</w:t>
            </w:r>
          </w:p>
        </w:tc>
        <w:tc>
          <w:tcPr>
            <w:tcW w:w="969" w:type="dxa"/>
            <w:tcBorders>
              <w:top w:val="single" w:color="auto" w:sz="4" w:space="0"/>
              <w:left w:val="single" w:color="auto" w:sz="4" w:space="0"/>
              <w:bottom w:val="single" w:color="auto" w:sz="4" w:space="0"/>
              <w:right w:val="single" w:color="auto" w:sz="4" w:space="0"/>
            </w:tcBorders>
            <w:vAlign w:val="center"/>
          </w:tcPr>
          <w:p w14:paraId="33821512">
            <w:pPr>
              <w:widowControl/>
              <w:jc w:val="center"/>
              <w:rPr>
                <w:kern w:val="0"/>
                <w:sz w:val="20"/>
                <w:szCs w:val="20"/>
              </w:rPr>
            </w:pPr>
            <w:r>
              <w:rPr>
                <w:kern w:val="0"/>
                <w:sz w:val="20"/>
                <w:szCs w:val="20"/>
              </w:rPr>
              <w:t>（10分）</w:t>
            </w:r>
          </w:p>
        </w:tc>
        <w:tc>
          <w:tcPr>
            <w:tcW w:w="7771" w:type="dxa"/>
            <w:tcBorders>
              <w:top w:val="single" w:color="auto" w:sz="4" w:space="0"/>
              <w:left w:val="single" w:color="auto" w:sz="4" w:space="0"/>
              <w:bottom w:val="single" w:color="auto" w:sz="4" w:space="0"/>
              <w:right w:val="single" w:color="auto" w:sz="4" w:space="0"/>
            </w:tcBorders>
            <w:vAlign w:val="center"/>
          </w:tcPr>
          <w:p w14:paraId="6E6EB74A">
            <w:pPr>
              <w:rPr>
                <w:kern w:val="0"/>
                <w:sz w:val="20"/>
                <w:szCs w:val="20"/>
              </w:rPr>
            </w:pPr>
            <w:r>
              <w:rPr>
                <w:rFonts w:hint="eastAsia"/>
                <w:kern w:val="0"/>
                <w:sz w:val="20"/>
                <w:szCs w:val="20"/>
              </w:rPr>
              <w:t>供应商</w:t>
            </w:r>
            <w:r>
              <w:rPr>
                <w:kern w:val="0"/>
                <w:sz w:val="20"/>
                <w:szCs w:val="20"/>
              </w:rPr>
              <w:t>服务团队成员具备高级软件工程师证书、高级软件测试工程师证书、数据库管理师证书、信息类中级职称证书、</w:t>
            </w:r>
            <w:r>
              <w:rPr>
                <w:rFonts w:hint="eastAsia"/>
                <w:kern w:val="0"/>
                <w:sz w:val="20"/>
                <w:szCs w:val="20"/>
              </w:rPr>
              <w:t>项目管理专业人员（PMP）</w:t>
            </w:r>
            <w:r>
              <w:rPr>
                <w:kern w:val="0"/>
                <w:sz w:val="20"/>
                <w:szCs w:val="20"/>
              </w:rPr>
              <w:t>，每提供一类证书得 2 分，最多得10 分（注：同类证书不重复得分）。（须提供证书复印件及近半年社保缴纳证明），不提供不得分。</w:t>
            </w:r>
          </w:p>
        </w:tc>
      </w:tr>
    </w:tbl>
    <w:p w14:paraId="5C0865A3">
      <w:pPr>
        <w:spacing w:line="360" w:lineRule="auto"/>
        <w:rPr>
          <w:u w:val="single"/>
        </w:rPr>
      </w:pPr>
      <w:r>
        <w:rPr>
          <w:u w:val="single"/>
        </w:rPr>
        <w:t>2.小微企业价格扣除</w:t>
      </w:r>
    </w:p>
    <w:p w14:paraId="0F038806">
      <w:pPr>
        <w:spacing w:line="360" w:lineRule="auto"/>
        <w:rPr>
          <w:u w:val="single"/>
        </w:rPr>
      </w:pPr>
      <w:r>
        <w:rPr>
          <w:u w:val="single"/>
        </w:rPr>
        <w:t>2.1对于专门面向中小企业或小型、微型企业的服务，只面向中小企业或小型、微型企业采购。对于非专门面向中小企业的服务，对小型和微型企业的价格给予10%的扣除，用扣除后的价格参与评审。</w:t>
      </w:r>
    </w:p>
    <w:p w14:paraId="438B32F1">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538194D1">
      <w:pPr>
        <w:spacing w:line="360" w:lineRule="auto"/>
        <w:rPr>
          <w:u w:val="single"/>
        </w:rPr>
      </w:pPr>
      <w:r>
        <w:rPr>
          <w:u w:val="single"/>
        </w:rPr>
        <w:t>3.监狱和戒毒企业的价格扣除</w:t>
      </w:r>
    </w:p>
    <w:p w14:paraId="654B63A7">
      <w:pPr>
        <w:spacing w:line="360" w:lineRule="auto"/>
        <w:rPr>
          <w:u w:val="single"/>
        </w:rPr>
      </w:pPr>
      <w:r>
        <w:rPr>
          <w:u w:val="single"/>
        </w:rPr>
        <w:t>3.1 本服务对监狱和戒毒企业，给予10%的价格扣除，用扣除后的价格参与评审。</w:t>
      </w:r>
    </w:p>
    <w:p w14:paraId="1257BD66">
      <w:pPr>
        <w:spacing w:line="360" w:lineRule="auto"/>
        <w:rPr>
          <w:u w:val="single"/>
        </w:rPr>
      </w:pPr>
      <w:r>
        <w:rPr>
          <w:u w:val="single"/>
        </w:rPr>
        <w:t>3.2 监狱企业需提供由省级以上监狱管理局、戒毒管理局（含新疆生产建设兵团）出具的属于监狱企业的证明文件。</w:t>
      </w:r>
    </w:p>
    <w:p w14:paraId="6F7179BC">
      <w:pPr>
        <w:spacing w:line="360" w:lineRule="auto"/>
        <w:rPr>
          <w:u w:val="single"/>
        </w:rPr>
      </w:pPr>
      <w:r>
        <w:rPr>
          <w:u w:val="single"/>
        </w:rPr>
        <w:t>3.3 监狱企业标准请参照《关于政府采购支持监狱企业发展有关问题的通知》（财库〔2014〕68号）。</w:t>
      </w:r>
    </w:p>
    <w:p w14:paraId="32233907">
      <w:pPr>
        <w:spacing w:line="360" w:lineRule="auto"/>
        <w:rPr>
          <w:u w:val="single"/>
        </w:rPr>
      </w:pPr>
      <w:r>
        <w:rPr>
          <w:u w:val="single"/>
        </w:rPr>
        <w:t>4.残疾人福利性单位的价格扣除</w:t>
      </w:r>
    </w:p>
    <w:p w14:paraId="5382965F">
      <w:pPr>
        <w:spacing w:line="360" w:lineRule="auto"/>
        <w:rPr>
          <w:u w:val="single"/>
        </w:rPr>
      </w:pPr>
      <w:r>
        <w:rPr>
          <w:u w:val="single"/>
        </w:rPr>
        <w:t>4.1 本服务对残疾人福利性单位，给予10%的价格扣除，用扣除后的价格参与评审。</w:t>
      </w:r>
    </w:p>
    <w:p w14:paraId="25FCD8EC">
      <w:pPr>
        <w:spacing w:line="360" w:lineRule="auto"/>
        <w:rPr>
          <w:u w:val="single"/>
        </w:rPr>
      </w:pPr>
      <w:r>
        <w:rPr>
          <w:u w:val="single"/>
        </w:rPr>
        <w:t>4.2 残疾人福利性单位需提供《残疾人福利性单位声明函》</w:t>
      </w:r>
    </w:p>
    <w:p w14:paraId="518CEBEB">
      <w:pPr>
        <w:spacing w:line="360" w:lineRule="auto"/>
        <w:rPr>
          <w:u w:val="single"/>
        </w:rPr>
      </w:pPr>
      <w:r>
        <w:rPr>
          <w:u w:val="single"/>
        </w:rPr>
        <w:t>4.3 残疾人福利性单位标准请参照《关于促进残疾人就业政府采购政策的通知》（财库〔2017〕141号）。</w:t>
      </w:r>
    </w:p>
    <w:p w14:paraId="0CD5838D">
      <w:pPr>
        <w:spacing w:line="360" w:lineRule="auto"/>
      </w:pPr>
      <w:r>
        <w:rPr>
          <w:u w:val="single"/>
        </w:rPr>
        <w:t>5. 监狱企业、残疾人福利性单位属于小型、微型企业的，不重复享受政策。</w:t>
      </w:r>
    </w:p>
    <w:p w14:paraId="07473D0B">
      <w:pPr>
        <w:jc w:val="center"/>
        <w:rPr>
          <w:rFonts w:eastAsia="华文中宋"/>
          <w:sz w:val="32"/>
        </w:rPr>
      </w:pPr>
      <w:r>
        <w:rPr>
          <w:rFonts w:eastAsia="华文中宋"/>
          <w:sz w:val="32"/>
        </w:rPr>
        <w:br w:type="page"/>
      </w:r>
      <w:r>
        <w:rPr>
          <w:rFonts w:eastAsia="华文中宋"/>
          <w:sz w:val="32"/>
        </w:rPr>
        <w:t>第三章    采购需求</w:t>
      </w:r>
    </w:p>
    <w:p w14:paraId="17B4C340">
      <w:pPr>
        <w:pStyle w:val="3"/>
        <w:spacing w:line="360" w:lineRule="auto"/>
        <w:rPr>
          <w:rFonts w:ascii="Times New Roman" w:hAnsi="Times New Roman" w:eastAsia="仿宋" w:cs="Times New Roman"/>
          <w:sz w:val="24"/>
          <w:szCs w:val="28"/>
        </w:rPr>
      </w:pPr>
      <w:r>
        <w:rPr>
          <w:rFonts w:ascii="Times New Roman" w:hAnsi="Times New Roman" w:eastAsia="仿宋" w:cs="Times New Roman"/>
          <w:sz w:val="24"/>
          <w:szCs w:val="28"/>
        </w:rPr>
        <w:t>一、</w:t>
      </w:r>
      <w:bookmarkStart w:id="31" w:name="_Toc67153000"/>
      <w:r>
        <w:rPr>
          <w:rFonts w:ascii="Times New Roman" w:hAnsi="Times New Roman" w:eastAsia="仿宋" w:cs="Times New Roman"/>
          <w:sz w:val="24"/>
          <w:szCs w:val="28"/>
        </w:rPr>
        <w:t>服务</w:t>
      </w:r>
      <w:r>
        <w:rPr>
          <w:rFonts w:hint="eastAsia" w:ascii="Times New Roman" w:hAnsi="Times New Roman" w:eastAsia="仿宋" w:cs="Times New Roman"/>
          <w:sz w:val="24"/>
          <w:szCs w:val="28"/>
        </w:rPr>
        <w:t>背景和</w:t>
      </w:r>
      <w:r>
        <w:rPr>
          <w:rFonts w:ascii="Times New Roman" w:hAnsi="Times New Roman" w:eastAsia="仿宋" w:cs="Times New Roman"/>
          <w:sz w:val="24"/>
          <w:szCs w:val="28"/>
        </w:rPr>
        <w:t>内容</w:t>
      </w:r>
      <w:bookmarkEnd w:id="31"/>
    </w:p>
    <w:p w14:paraId="08212354">
      <w:pPr>
        <w:spacing w:line="360" w:lineRule="auto"/>
        <w:ind w:firstLine="482" w:firstLineChars="200"/>
        <w:rPr>
          <w:rFonts w:eastAsia="仿宋"/>
          <w:b/>
          <w:bCs/>
          <w:sz w:val="24"/>
          <w:szCs w:val="28"/>
        </w:rPr>
      </w:pPr>
      <w:bookmarkStart w:id="32" w:name="OLE_LINK1"/>
      <w:r>
        <w:rPr>
          <w:rFonts w:hint="eastAsia" w:eastAsia="仿宋"/>
          <w:b/>
          <w:bCs/>
          <w:sz w:val="24"/>
          <w:szCs w:val="28"/>
        </w:rPr>
        <w:t>1、服务背景：</w:t>
      </w:r>
    </w:p>
    <w:p w14:paraId="5CB7DCA6">
      <w:pPr>
        <w:spacing w:line="360" w:lineRule="auto"/>
        <w:ind w:firstLine="480" w:firstLineChars="200"/>
        <w:rPr>
          <w:rFonts w:eastAsia="仿宋"/>
          <w:sz w:val="24"/>
          <w:szCs w:val="28"/>
        </w:rPr>
      </w:pPr>
      <w:r>
        <w:rPr>
          <w:rFonts w:hint="eastAsia" w:eastAsia="仿宋"/>
          <w:sz w:val="24"/>
          <w:szCs w:val="28"/>
        </w:rPr>
        <w:t>2023-2024年，慢病科通累计获取约 1.8 万份成人健康期望寿命调查问卷、约 4500 份儿童青少年慢性病综合干预问卷以及约 90 万份社区老年健康体检数据。2025年，慢病科将继续持续收集相关儿童青少年和老年体检数据，数据规模将进一步扩大，数据的时效性和连续性也将得到增强。基于数据收集的连续性，对应的数据处理分析工作也将连续开展，需要持续对新数据进行清洗、编码、整合、处理以及统计分析等一系列工作，为相关策略和政策的制定提供长期、可靠的循证支持。</w:t>
      </w:r>
    </w:p>
    <w:p w14:paraId="537291AC">
      <w:pPr>
        <w:spacing w:line="360" w:lineRule="auto"/>
        <w:ind w:firstLine="482" w:firstLineChars="200"/>
        <w:rPr>
          <w:rFonts w:eastAsia="仿宋"/>
          <w:b/>
          <w:bCs/>
          <w:sz w:val="24"/>
          <w:szCs w:val="28"/>
        </w:rPr>
      </w:pPr>
      <w:r>
        <w:rPr>
          <w:rFonts w:hint="eastAsia" w:eastAsia="仿宋"/>
          <w:b/>
          <w:bCs/>
          <w:sz w:val="24"/>
          <w:szCs w:val="28"/>
        </w:rPr>
        <w:t>2、服务内容</w:t>
      </w:r>
    </w:p>
    <w:p w14:paraId="12E0F8BA">
      <w:pPr>
        <w:spacing w:line="360" w:lineRule="auto"/>
        <w:ind w:firstLine="480" w:firstLineChars="200"/>
        <w:rPr>
          <w:rFonts w:eastAsia="仿宋"/>
          <w:sz w:val="24"/>
          <w:szCs w:val="28"/>
        </w:rPr>
      </w:pPr>
      <w:r>
        <w:rPr>
          <w:rFonts w:hint="eastAsia" w:eastAsia="仿宋"/>
          <w:sz w:val="24"/>
          <w:szCs w:val="28"/>
        </w:rPr>
        <w:t>数据处理服务，包括：儿童青少年慢性病防控相关问卷数据处理、社区居民健康期望寿命问卷数据处理、代谢指标轨迹变化与主要慢性病发病关联数据处理。</w:t>
      </w:r>
    </w:p>
    <w:bookmarkEnd w:id="32"/>
    <w:p w14:paraId="47D69C33">
      <w:pPr>
        <w:pStyle w:val="3"/>
        <w:spacing w:line="360" w:lineRule="auto"/>
        <w:rPr>
          <w:rFonts w:ascii="Times New Roman" w:hAnsi="Times New Roman" w:eastAsia="仿宋" w:cs="Times New Roman"/>
          <w:sz w:val="24"/>
          <w:szCs w:val="28"/>
        </w:rPr>
      </w:pPr>
      <w:r>
        <w:rPr>
          <w:rFonts w:ascii="Times New Roman" w:hAnsi="Times New Roman" w:eastAsia="仿宋" w:cs="Times New Roman"/>
          <w:sz w:val="24"/>
          <w:szCs w:val="28"/>
        </w:rPr>
        <w:t>二、服务范围及服务周期</w:t>
      </w:r>
    </w:p>
    <w:p w14:paraId="660BD533">
      <w:pPr>
        <w:widowControl/>
        <w:ind w:firstLine="480" w:firstLineChars="200"/>
        <w:jc w:val="left"/>
        <w:rPr>
          <w:rFonts w:eastAsia="仿宋"/>
          <w:sz w:val="24"/>
          <w:szCs w:val="28"/>
        </w:rPr>
      </w:pPr>
      <w:r>
        <w:rPr>
          <w:rFonts w:eastAsia="仿宋"/>
          <w:sz w:val="24"/>
          <w:szCs w:val="28"/>
        </w:rPr>
        <w:t>本次服务范围为：</w:t>
      </w:r>
      <w:r>
        <w:rPr>
          <w:rFonts w:hint="eastAsia" w:eastAsia="仿宋"/>
          <w:sz w:val="24"/>
          <w:szCs w:val="28"/>
        </w:rPr>
        <w:t>慢性病相关采集数据处理服务</w:t>
      </w:r>
    </w:p>
    <w:p w14:paraId="4C2477BB">
      <w:pPr>
        <w:widowControl/>
        <w:jc w:val="left"/>
        <w:rPr>
          <w:rFonts w:eastAsia="仿宋"/>
          <w:sz w:val="24"/>
          <w:szCs w:val="28"/>
        </w:rPr>
      </w:pPr>
    </w:p>
    <w:p w14:paraId="3FE42CCA">
      <w:pPr>
        <w:widowControl/>
        <w:ind w:firstLine="480" w:firstLineChars="200"/>
        <w:jc w:val="left"/>
        <w:rPr>
          <w:rFonts w:eastAsia="仿宋"/>
          <w:sz w:val="24"/>
          <w:szCs w:val="28"/>
        </w:rPr>
      </w:pPr>
      <w:r>
        <w:rPr>
          <w:rFonts w:eastAsia="仿宋"/>
          <w:sz w:val="24"/>
          <w:szCs w:val="28"/>
        </w:rPr>
        <w:t>服务周期：30个自然日</w:t>
      </w:r>
    </w:p>
    <w:p w14:paraId="592D5184">
      <w:pPr>
        <w:pStyle w:val="3"/>
        <w:spacing w:line="360" w:lineRule="auto"/>
        <w:rPr>
          <w:rFonts w:ascii="Times New Roman" w:hAnsi="Times New Roman" w:eastAsia="仿宋" w:cs="Times New Roman"/>
          <w:sz w:val="24"/>
          <w:szCs w:val="28"/>
        </w:rPr>
      </w:pPr>
      <w:r>
        <w:rPr>
          <w:rFonts w:ascii="Times New Roman" w:hAnsi="Times New Roman" w:eastAsia="仿宋" w:cs="Times New Roman"/>
          <w:sz w:val="24"/>
          <w:szCs w:val="28"/>
        </w:rPr>
        <w:t>三、服务具体要求</w:t>
      </w:r>
    </w:p>
    <w:tbl>
      <w:tblPr>
        <w:tblStyle w:val="22"/>
        <w:tblW w:w="10234" w:type="dxa"/>
        <w:tblInd w:w="-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283"/>
        <w:gridCol w:w="8034"/>
      </w:tblGrid>
      <w:tr w14:paraId="794F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0E2E6CB3">
            <w:pPr>
              <w:spacing w:line="360" w:lineRule="auto"/>
              <w:jc w:val="center"/>
              <w:rPr>
                <w:rFonts w:eastAsia="仿宋"/>
                <w:sz w:val="24"/>
                <w:szCs w:val="28"/>
              </w:rPr>
            </w:pPr>
            <w:r>
              <w:rPr>
                <w:rFonts w:eastAsia="仿宋"/>
                <w:sz w:val="24"/>
                <w:szCs w:val="28"/>
              </w:rPr>
              <w:t>序号</w:t>
            </w:r>
          </w:p>
        </w:tc>
        <w:tc>
          <w:tcPr>
            <w:tcW w:w="1283" w:type="dxa"/>
            <w:vAlign w:val="center"/>
          </w:tcPr>
          <w:p w14:paraId="43F4525C">
            <w:pPr>
              <w:spacing w:line="360" w:lineRule="auto"/>
              <w:jc w:val="center"/>
              <w:rPr>
                <w:rFonts w:hint="eastAsia" w:eastAsia="仿宋"/>
                <w:sz w:val="24"/>
                <w:szCs w:val="28"/>
                <w:lang w:eastAsia="zh-CN"/>
              </w:rPr>
            </w:pPr>
            <w:r>
              <w:rPr>
                <w:rFonts w:eastAsia="仿宋"/>
                <w:sz w:val="24"/>
                <w:szCs w:val="28"/>
              </w:rPr>
              <w:t>服务</w:t>
            </w:r>
            <w:r>
              <w:rPr>
                <w:rFonts w:hint="eastAsia" w:eastAsia="仿宋"/>
                <w:sz w:val="24"/>
                <w:szCs w:val="28"/>
                <w:lang w:val="en-US" w:eastAsia="zh-CN"/>
              </w:rPr>
              <w:t>项目</w:t>
            </w:r>
          </w:p>
        </w:tc>
        <w:tc>
          <w:tcPr>
            <w:tcW w:w="8034" w:type="dxa"/>
            <w:vAlign w:val="center"/>
          </w:tcPr>
          <w:p w14:paraId="285B7F06">
            <w:pPr>
              <w:spacing w:line="360" w:lineRule="auto"/>
              <w:jc w:val="center"/>
              <w:rPr>
                <w:rFonts w:eastAsia="仿宋"/>
                <w:sz w:val="24"/>
                <w:szCs w:val="28"/>
              </w:rPr>
            </w:pPr>
            <w:r>
              <w:rPr>
                <w:rFonts w:eastAsia="仿宋"/>
                <w:sz w:val="24"/>
                <w:szCs w:val="28"/>
              </w:rPr>
              <w:t>描述</w:t>
            </w:r>
          </w:p>
        </w:tc>
      </w:tr>
      <w:tr w14:paraId="7CC0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089504C4">
            <w:pPr>
              <w:spacing w:line="360" w:lineRule="auto"/>
              <w:jc w:val="center"/>
              <w:rPr>
                <w:rFonts w:eastAsia="仿宋"/>
                <w:sz w:val="24"/>
                <w:szCs w:val="28"/>
              </w:rPr>
            </w:pPr>
            <w:r>
              <w:rPr>
                <w:rFonts w:eastAsia="仿宋"/>
                <w:sz w:val="24"/>
                <w:szCs w:val="28"/>
              </w:rPr>
              <w:t>1</w:t>
            </w:r>
          </w:p>
        </w:tc>
        <w:tc>
          <w:tcPr>
            <w:tcW w:w="1283" w:type="dxa"/>
            <w:vAlign w:val="center"/>
          </w:tcPr>
          <w:p w14:paraId="7F6C3AAB">
            <w:pPr>
              <w:widowControl/>
              <w:jc w:val="left"/>
              <w:rPr>
                <w:rFonts w:eastAsia="仿宋"/>
                <w:sz w:val="24"/>
                <w:szCs w:val="28"/>
              </w:rPr>
            </w:pPr>
            <w:bookmarkStart w:id="33" w:name="OLE_LINK5"/>
            <w:r>
              <w:rPr>
                <w:rFonts w:hint="eastAsia" w:eastAsia="仿宋"/>
                <w:sz w:val="24"/>
                <w:szCs w:val="28"/>
              </w:rPr>
              <w:t>儿童青少年慢性病防控相关问卷数据处理</w:t>
            </w:r>
            <w:bookmarkEnd w:id="33"/>
          </w:p>
        </w:tc>
        <w:tc>
          <w:tcPr>
            <w:tcW w:w="8034" w:type="dxa"/>
          </w:tcPr>
          <w:p w14:paraId="1DEB57C1">
            <w:pPr>
              <w:widowControl/>
              <w:rPr>
                <w:rFonts w:eastAsia="仿宋"/>
                <w:sz w:val="24"/>
                <w:szCs w:val="28"/>
              </w:rPr>
            </w:pPr>
            <w:r>
              <w:rPr>
                <w:rFonts w:hint="eastAsia" w:eastAsia="仿宋"/>
                <w:sz w:val="24"/>
                <w:szCs w:val="28"/>
              </w:rPr>
              <w:t>对“青少年慢病防控系列问卷”收集的数据处理具体包含以下内容：</w:t>
            </w:r>
          </w:p>
          <w:p w14:paraId="296FD8C4">
            <w:pPr>
              <w:widowControl/>
              <w:numPr>
                <w:ilvl w:val="0"/>
                <w:numId w:val="2"/>
              </w:numPr>
              <w:rPr>
                <w:rFonts w:eastAsia="仿宋"/>
                <w:sz w:val="24"/>
                <w:szCs w:val="28"/>
              </w:rPr>
            </w:pPr>
            <w:r>
              <w:rPr>
                <w:rFonts w:hint="eastAsia" w:eastAsia="仿宋"/>
                <w:sz w:val="24"/>
                <w:szCs w:val="28"/>
              </w:rPr>
              <w:t>数据清洗：对“儿童青少年慢性病防控相关问卷”收集的数据进行清洗，去除无效、错误数据；</w:t>
            </w:r>
          </w:p>
          <w:p w14:paraId="326AF0BA">
            <w:pPr>
              <w:widowControl/>
              <w:numPr>
                <w:ilvl w:val="0"/>
                <w:numId w:val="2"/>
              </w:numPr>
              <w:rPr>
                <w:rFonts w:eastAsia="仿宋"/>
                <w:sz w:val="24"/>
                <w:szCs w:val="28"/>
              </w:rPr>
            </w:pPr>
            <w:r>
              <w:rPr>
                <w:rFonts w:hint="eastAsia" w:eastAsia="仿宋"/>
                <w:sz w:val="24"/>
                <w:szCs w:val="28"/>
              </w:rPr>
              <w:t>数据整合：对清洗后的数据进行整合，合并不同来源、不同格式的相关数据；</w:t>
            </w:r>
          </w:p>
          <w:p w14:paraId="5BD2E490">
            <w:pPr>
              <w:widowControl/>
              <w:numPr>
                <w:ilvl w:val="0"/>
                <w:numId w:val="2"/>
              </w:numPr>
              <w:rPr>
                <w:rFonts w:eastAsia="仿宋"/>
                <w:sz w:val="24"/>
                <w:szCs w:val="28"/>
              </w:rPr>
            </w:pPr>
            <w:r>
              <w:rPr>
                <w:rFonts w:hint="eastAsia" w:eastAsia="仿宋"/>
                <w:sz w:val="24"/>
                <w:szCs w:val="28"/>
              </w:rPr>
              <w:t>数据编码：对整合后的数据进行编码，将文字等信息转化为可统计的代码；</w:t>
            </w:r>
          </w:p>
          <w:p w14:paraId="28F9B2D3">
            <w:pPr>
              <w:widowControl/>
              <w:numPr>
                <w:ilvl w:val="0"/>
                <w:numId w:val="2"/>
              </w:numPr>
              <w:rPr>
                <w:rFonts w:eastAsia="仿宋"/>
                <w:sz w:val="24"/>
                <w:szCs w:val="28"/>
              </w:rPr>
            </w:pPr>
            <w:r>
              <w:rPr>
                <w:rFonts w:hint="eastAsia" w:eastAsia="仿宋"/>
                <w:sz w:val="24"/>
                <w:szCs w:val="28"/>
              </w:rPr>
              <w:t>数据处理：实现数据的标准化处理，统一数据格式、指标口径等；</w:t>
            </w:r>
          </w:p>
          <w:p w14:paraId="46497E50">
            <w:pPr>
              <w:widowControl/>
              <w:numPr>
                <w:ilvl w:val="0"/>
                <w:numId w:val="2"/>
              </w:numPr>
              <w:rPr>
                <w:rFonts w:eastAsia="仿宋"/>
                <w:sz w:val="24"/>
                <w:szCs w:val="28"/>
              </w:rPr>
            </w:pPr>
            <w:r>
              <w:rPr>
                <w:rFonts w:hint="eastAsia" w:eastAsia="仿宋"/>
                <w:sz w:val="24"/>
                <w:szCs w:val="28"/>
              </w:rPr>
              <w:t>数据统计分析：开展多维度统计分析，挖掘青少年慢性病相关风险因素的分布特征；分析青少年对慢性病的认知水平的分布特征及关联规律；研究青少年慢性病相关行为模式的分布特征与关联规律。</w:t>
            </w:r>
          </w:p>
        </w:tc>
      </w:tr>
      <w:tr w14:paraId="52D1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362721E3">
            <w:pPr>
              <w:spacing w:line="360" w:lineRule="auto"/>
              <w:jc w:val="center"/>
              <w:rPr>
                <w:rFonts w:eastAsia="仿宋"/>
                <w:sz w:val="24"/>
                <w:szCs w:val="28"/>
              </w:rPr>
            </w:pPr>
            <w:r>
              <w:rPr>
                <w:rFonts w:eastAsia="仿宋"/>
                <w:sz w:val="24"/>
                <w:szCs w:val="28"/>
              </w:rPr>
              <w:t>2</w:t>
            </w:r>
          </w:p>
        </w:tc>
        <w:tc>
          <w:tcPr>
            <w:tcW w:w="1283" w:type="dxa"/>
            <w:vAlign w:val="center"/>
          </w:tcPr>
          <w:p w14:paraId="62AE4C2C">
            <w:pPr>
              <w:widowControl/>
              <w:jc w:val="left"/>
              <w:rPr>
                <w:rFonts w:eastAsia="仿宋"/>
                <w:sz w:val="24"/>
                <w:szCs w:val="28"/>
              </w:rPr>
            </w:pPr>
            <w:r>
              <w:rPr>
                <w:rFonts w:hint="eastAsia" w:eastAsia="仿宋"/>
                <w:sz w:val="24"/>
                <w:szCs w:val="28"/>
              </w:rPr>
              <w:t>社区居民健康期望寿命问卷数据处理</w:t>
            </w:r>
          </w:p>
        </w:tc>
        <w:tc>
          <w:tcPr>
            <w:tcW w:w="8034" w:type="dxa"/>
          </w:tcPr>
          <w:p w14:paraId="7A03B745">
            <w:pPr>
              <w:widowControl/>
              <w:rPr>
                <w:rFonts w:eastAsia="仿宋"/>
                <w:sz w:val="24"/>
                <w:szCs w:val="28"/>
              </w:rPr>
            </w:pPr>
            <w:r>
              <w:rPr>
                <w:rFonts w:eastAsia="仿宋"/>
                <w:sz w:val="24"/>
                <w:szCs w:val="28"/>
              </w:rPr>
              <w:t>“健康期望寿命”专项问卷收集的数据</w:t>
            </w:r>
            <w:r>
              <w:rPr>
                <w:rFonts w:hint="eastAsia" w:eastAsia="仿宋"/>
                <w:sz w:val="24"/>
                <w:szCs w:val="28"/>
                <w:lang w:val="en-US" w:eastAsia="zh-CN"/>
              </w:rPr>
              <w:t>处理</w:t>
            </w:r>
            <w:r>
              <w:rPr>
                <w:rFonts w:hint="eastAsia" w:eastAsia="仿宋"/>
                <w:sz w:val="24"/>
                <w:szCs w:val="28"/>
              </w:rPr>
              <w:t>具体包含以下内容：</w:t>
            </w:r>
          </w:p>
          <w:p w14:paraId="7DFC1960">
            <w:pPr>
              <w:widowControl/>
              <w:numPr>
                <w:ilvl w:val="0"/>
                <w:numId w:val="3"/>
              </w:numPr>
              <w:rPr>
                <w:rFonts w:eastAsia="仿宋"/>
                <w:sz w:val="24"/>
                <w:szCs w:val="28"/>
              </w:rPr>
            </w:pPr>
            <w:r>
              <w:rPr>
                <w:rFonts w:hint="eastAsia" w:eastAsia="仿宋"/>
                <w:sz w:val="24"/>
                <w:szCs w:val="28"/>
              </w:rPr>
              <w:t>数据清洗：对“健康期望寿命” 专项问卷收集的数据进行清洗，去除无效、错误数据；</w:t>
            </w:r>
          </w:p>
          <w:p w14:paraId="1115D896">
            <w:pPr>
              <w:widowControl/>
              <w:numPr>
                <w:ilvl w:val="0"/>
                <w:numId w:val="3"/>
              </w:numPr>
              <w:rPr>
                <w:rFonts w:eastAsia="仿宋"/>
                <w:sz w:val="24"/>
                <w:szCs w:val="28"/>
              </w:rPr>
            </w:pPr>
            <w:r>
              <w:rPr>
                <w:rFonts w:hint="eastAsia" w:eastAsia="仿宋"/>
                <w:sz w:val="24"/>
                <w:szCs w:val="28"/>
              </w:rPr>
              <w:t>数据整合：精确计算有效寿命年，整合相关数据；对失能状态进行精确计算与整合；</w:t>
            </w:r>
          </w:p>
          <w:p w14:paraId="2B63F0F7">
            <w:pPr>
              <w:widowControl/>
              <w:numPr>
                <w:ilvl w:val="0"/>
                <w:numId w:val="3"/>
              </w:numPr>
              <w:rPr>
                <w:rFonts w:eastAsia="仿宋"/>
                <w:sz w:val="24"/>
                <w:szCs w:val="28"/>
              </w:rPr>
            </w:pPr>
            <w:r>
              <w:rPr>
                <w:rFonts w:hint="eastAsia" w:eastAsia="仿宋"/>
                <w:sz w:val="24"/>
                <w:szCs w:val="28"/>
              </w:rPr>
              <w:t>数据编码：对数据进行编码，重点对健康状态与失能信息进行标准化处理；</w:t>
            </w:r>
          </w:p>
          <w:p w14:paraId="1DFADC3F">
            <w:pPr>
              <w:widowControl/>
              <w:numPr>
                <w:ilvl w:val="0"/>
                <w:numId w:val="3"/>
              </w:numPr>
              <w:rPr>
                <w:rFonts w:eastAsia="仿宋"/>
                <w:sz w:val="24"/>
                <w:szCs w:val="28"/>
              </w:rPr>
            </w:pPr>
            <w:r>
              <w:rPr>
                <w:rFonts w:hint="eastAsia" w:eastAsia="仿宋"/>
                <w:sz w:val="24"/>
                <w:szCs w:val="28"/>
              </w:rPr>
              <w:t>数据处理：实现数据的标准化处理，统一数据格式、指标口径等；</w:t>
            </w:r>
          </w:p>
          <w:p w14:paraId="12922653">
            <w:pPr>
              <w:widowControl/>
              <w:numPr>
                <w:ilvl w:val="0"/>
                <w:numId w:val="3"/>
              </w:numPr>
              <w:rPr>
                <w:rFonts w:eastAsia="仿宋"/>
                <w:sz w:val="24"/>
                <w:szCs w:val="28"/>
              </w:rPr>
            </w:pPr>
            <w:r>
              <w:rPr>
                <w:rFonts w:hint="eastAsia" w:eastAsia="仿宋"/>
                <w:sz w:val="24"/>
                <w:szCs w:val="28"/>
              </w:rPr>
              <w:t>数据统计分析：通过统计分析，评估目标人群在特定健康状态下的预期生存年数。</w:t>
            </w:r>
          </w:p>
        </w:tc>
      </w:tr>
      <w:tr w14:paraId="0AF3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7200F108">
            <w:pPr>
              <w:spacing w:line="360" w:lineRule="auto"/>
              <w:jc w:val="center"/>
              <w:rPr>
                <w:rFonts w:eastAsia="仿宋"/>
                <w:sz w:val="24"/>
                <w:szCs w:val="28"/>
              </w:rPr>
            </w:pPr>
            <w:r>
              <w:rPr>
                <w:rFonts w:eastAsia="仿宋"/>
                <w:sz w:val="24"/>
                <w:szCs w:val="28"/>
              </w:rPr>
              <w:t>3</w:t>
            </w:r>
          </w:p>
        </w:tc>
        <w:tc>
          <w:tcPr>
            <w:tcW w:w="1283" w:type="dxa"/>
            <w:vAlign w:val="center"/>
          </w:tcPr>
          <w:p w14:paraId="250B6E24">
            <w:pPr>
              <w:widowControl/>
              <w:jc w:val="left"/>
              <w:rPr>
                <w:rFonts w:eastAsia="仿宋"/>
                <w:sz w:val="24"/>
                <w:szCs w:val="28"/>
              </w:rPr>
            </w:pPr>
            <w:r>
              <w:rPr>
                <w:rFonts w:hint="eastAsia" w:eastAsia="仿宋"/>
                <w:sz w:val="24"/>
                <w:szCs w:val="28"/>
              </w:rPr>
              <w:t>代谢指标轨迹变化与主要慢性病发病关联数据处理</w:t>
            </w:r>
          </w:p>
        </w:tc>
        <w:tc>
          <w:tcPr>
            <w:tcW w:w="8034" w:type="dxa"/>
          </w:tcPr>
          <w:p w14:paraId="6FD562A0">
            <w:pPr>
              <w:widowControl/>
              <w:rPr>
                <w:rFonts w:eastAsia="仿宋"/>
                <w:sz w:val="24"/>
                <w:szCs w:val="28"/>
              </w:rPr>
            </w:pPr>
            <w:r>
              <w:rPr>
                <w:rFonts w:hint="eastAsia" w:eastAsia="仿宋"/>
                <w:sz w:val="24"/>
                <w:szCs w:val="28"/>
              </w:rPr>
              <w:t>社区老年人体检调查数据处理具体包含以下内容：</w:t>
            </w:r>
          </w:p>
          <w:p w14:paraId="206BD406">
            <w:pPr>
              <w:widowControl/>
              <w:numPr>
                <w:ilvl w:val="0"/>
                <w:numId w:val="4"/>
              </w:numPr>
              <w:rPr>
                <w:rFonts w:eastAsia="仿宋"/>
                <w:sz w:val="24"/>
                <w:szCs w:val="28"/>
              </w:rPr>
            </w:pPr>
            <w:r>
              <w:rPr>
                <w:rFonts w:hint="eastAsia" w:eastAsia="仿宋"/>
                <w:sz w:val="24"/>
                <w:szCs w:val="28"/>
              </w:rPr>
              <w:t>数据清洗：对历年社区老年人健康体检数据进行变量清洗，去除无效、错误数据，确保数据质量；</w:t>
            </w:r>
          </w:p>
          <w:p w14:paraId="6D0138A7">
            <w:pPr>
              <w:widowControl/>
              <w:numPr>
                <w:ilvl w:val="0"/>
                <w:numId w:val="4"/>
              </w:numPr>
              <w:rPr>
                <w:rFonts w:eastAsia="仿宋"/>
                <w:sz w:val="24"/>
                <w:szCs w:val="28"/>
              </w:rPr>
            </w:pPr>
            <w:r>
              <w:rPr>
                <w:rFonts w:hint="eastAsia" w:eastAsia="仿宋"/>
                <w:sz w:val="24"/>
                <w:szCs w:val="28"/>
              </w:rPr>
              <w:t>数据修正：补充完善缺失数据（在合理范围内，通过数据插补等方式处理关键信息缺失情况）</w:t>
            </w:r>
          </w:p>
          <w:p w14:paraId="67B41A07">
            <w:pPr>
              <w:widowControl/>
              <w:numPr>
                <w:ilvl w:val="0"/>
                <w:numId w:val="4"/>
              </w:numPr>
              <w:rPr>
                <w:rFonts w:eastAsia="仿宋"/>
                <w:sz w:val="24"/>
                <w:szCs w:val="28"/>
              </w:rPr>
            </w:pPr>
            <w:r>
              <w:rPr>
                <w:rFonts w:hint="eastAsia" w:eastAsia="仿宋"/>
                <w:sz w:val="24"/>
                <w:szCs w:val="28"/>
              </w:rPr>
              <w:t>数据整合：将数据进行结构化整合，形成统一数据库；</w:t>
            </w:r>
          </w:p>
          <w:p w14:paraId="63A7BFF7">
            <w:pPr>
              <w:widowControl/>
              <w:numPr>
                <w:ilvl w:val="0"/>
                <w:numId w:val="4"/>
              </w:numPr>
              <w:rPr>
                <w:rFonts w:eastAsia="仿宋"/>
                <w:sz w:val="24"/>
                <w:szCs w:val="28"/>
              </w:rPr>
            </w:pPr>
            <w:r>
              <w:rPr>
                <w:rFonts w:hint="eastAsia" w:eastAsia="仿宋"/>
                <w:sz w:val="24"/>
                <w:szCs w:val="28"/>
              </w:rPr>
              <w:t>构建数据集：关联不同年份的体检数据，构建纵向数据集，便于分析指标变化趋势；</w:t>
            </w:r>
          </w:p>
          <w:p w14:paraId="3484B3F0">
            <w:pPr>
              <w:widowControl/>
              <w:numPr>
                <w:ilvl w:val="0"/>
                <w:numId w:val="4"/>
              </w:numPr>
              <w:rPr>
                <w:rFonts w:eastAsia="仿宋"/>
                <w:sz w:val="24"/>
                <w:szCs w:val="28"/>
              </w:rPr>
            </w:pPr>
            <w:r>
              <w:rPr>
                <w:rFonts w:hint="eastAsia" w:eastAsia="仿宋"/>
                <w:sz w:val="24"/>
                <w:szCs w:val="28"/>
              </w:rPr>
              <w:t>数据编码：对整合后的数据进行编码，规范数据表示形式；</w:t>
            </w:r>
          </w:p>
          <w:p w14:paraId="59504A36">
            <w:pPr>
              <w:widowControl/>
              <w:numPr>
                <w:ilvl w:val="0"/>
                <w:numId w:val="4"/>
              </w:numPr>
              <w:rPr>
                <w:rFonts w:eastAsia="仿宋"/>
                <w:sz w:val="24"/>
                <w:szCs w:val="28"/>
              </w:rPr>
            </w:pPr>
            <w:r>
              <w:rPr>
                <w:rFonts w:hint="eastAsia" w:eastAsia="仿宋"/>
                <w:sz w:val="24"/>
                <w:szCs w:val="28"/>
              </w:rPr>
              <w:t>数据处理：实现数据的标准化处理，统一数据格式、指标口径等；</w:t>
            </w:r>
          </w:p>
          <w:p w14:paraId="051F262B">
            <w:pPr>
              <w:widowControl/>
              <w:numPr>
                <w:ilvl w:val="0"/>
                <w:numId w:val="4"/>
              </w:numPr>
              <w:rPr>
                <w:rFonts w:eastAsia="仿宋"/>
                <w:sz w:val="24"/>
                <w:szCs w:val="28"/>
              </w:rPr>
            </w:pPr>
            <w:r>
              <w:rPr>
                <w:rFonts w:hint="eastAsia" w:eastAsia="仿宋"/>
                <w:sz w:val="24"/>
                <w:szCs w:val="28"/>
              </w:rPr>
              <w:t>数据统计分析：1）通过统计分析，构建代谢指标（血压、血糖、血脂、肝功能、肾功能等）轨迹模型；2）代谢指标不同轨迹模型与主要慢性病（心脑血管疾病、慢性肾病、非酒精性脂肪肝等）发生的关联；3）研究代谢指标与主要慢性病发展的关联模式，分析健康不平等的根源。</w:t>
            </w:r>
          </w:p>
        </w:tc>
      </w:tr>
    </w:tbl>
    <w:p w14:paraId="6DC1D150">
      <w:pPr>
        <w:pStyle w:val="3"/>
        <w:spacing w:line="360" w:lineRule="auto"/>
        <w:rPr>
          <w:rFonts w:ascii="Times New Roman" w:hAnsi="Times New Roman" w:eastAsia="仿宋" w:cs="Times New Roman"/>
          <w:b w:val="0"/>
          <w:bCs w:val="0"/>
          <w:sz w:val="24"/>
          <w:szCs w:val="28"/>
        </w:rPr>
      </w:pPr>
      <w:r>
        <w:rPr>
          <w:rFonts w:ascii="Times New Roman" w:hAnsi="Times New Roman" w:eastAsia="仿宋" w:cs="Times New Roman"/>
          <w:sz w:val="24"/>
          <w:szCs w:val="28"/>
        </w:rPr>
        <w:t>四、服务实施保密要求</w:t>
      </w:r>
    </w:p>
    <w:p w14:paraId="0717AF88">
      <w:pPr>
        <w:widowControl/>
        <w:spacing w:line="360" w:lineRule="auto"/>
        <w:ind w:firstLine="480" w:firstLineChars="200"/>
        <w:jc w:val="left"/>
        <w:rPr>
          <w:rFonts w:eastAsia="仿宋"/>
          <w:sz w:val="24"/>
          <w:szCs w:val="28"/>
        </w:rPr>
      </w:pPr>
      <w:r>
        <w:rPr>
          <w:rFonts w:eastAsia="仿宋"/>
          <w:sz w:val="24"/>
          <w:szCs w:val="28"/>
        </w:rPr>
        <w:t>（1）成交供应商加强内部保密和数据安全管理，因中标人造成的数据泄密、网络与数据安全问题，由中标人承担所有责任。</w:t>
      </w:r>
    </w:p>
    <w:p w14:paraId="5B37F1E9">
      <w:pPr>
        <w:widowControl/>
        <w:spacing w:line="360" w:lineRule="auto"/>
        <w:ind w:firstLine="480" w:firstLineChars="200"/>
        <w:jc w:val="left"/>
        <w:rPr>
          <w:rFonts w:eastAsia="仿宋"/>
          <w:sz w:val="24"/>
          <w:szCs w:val="28"/>
        </w:rPr>
      </w:pPr>
      <w:r>
        <w:rPr>
          <w:rFonts w:eastAsia="仿宋"/>
          <w:sz w:val="24"/>
          <w:szCs w:val="28"/>
        </w:rPr>
        <w:t>（2）投标人中标后须与采购人签署保密协议,对中标人在服务实施过程中获得的服务相关数据承担保密责任，对服务实施过程中涉及的敏感数据严格遵循《中华人民共和国保守国家秘密法》相关要求进行保护，因中标人造成泄密、网络与数据安全问题的，由中标人承担所有责任。</w:t>
      </w:r>
    </w:p>
    <w:p w14:paraId="18752776">
      <w:pPr>
        <w:widowControl/>
        <w:spacing w:line="360" w:lineRule="auto"/>
        <w:ind w:firstLine="480" w:firstLineChars="200"/>
        <w:jc w:val="left"/>
        <w:rPr>
          <w:rFonts w:eastAsia="仿宋"/>
          <w:sz w:val="24"/>
          <w:szCs w:val="28"/>
        </w:rPr>
      </w:pPr>
      <w:r>
        <w:rPr>
          <w:rFonts w:eastAsia="仿宋"/>
          <w:sz w:val="24"/>
          <w:szCs w:val="28"/>
        </w:rPr>
        <w:t>（3）投标人应当提供与采购人的保密协议草拟本，并在中标后与采购人签署保密协议，约定：对于监理服务所获取的相关数据进行严格保密，未经授权不得泄露给任何单位和个人，不得利用此数据进行任何侵害本服务涉及和相关的任何行为。</w:t>
      </w:r>
    </w:p>
    <w:p w14:paraId="3122086C">
      <w:pPr>
        <w:widowControl/>
        <w:spacing w:line="360" w:lineRule="auto"/>
        <w:ind w:firstLine="480" w:firstLineChars="200"/>
        <w:jc w:val="left"/>
        <w:rPr>
          <w:rFonts w:eastAsia="仿宋"/>
          <w:sz w:val="24"/>
          <w:szCs w:val="28"/>
        </w:rPr>
      </w:pPr>
      <w:r>
        <w:rPr>
          <w:rFonts w:eastAsia="仿宋"/>
          <w:sz w:val="24"/>
          <w:szCs w:val="28"/>
        </w:rPr>
        <w:t>（4）投标人应当提供服务成员与采购人的保密协议草拟本。中标后，中标人参与本服务的人员，必须与采购人签订保密协议，约束服务成员的保密义务，并严格控制本服务的数据扩散范围只在该小组成员为了完成监理服务工作所必需知道的最少范围内。</w:t>
      </w:r>
    </w:p>
    <w:p w14:paraId="7BFDC9DE">
      <w:pPr>
        <w:widowControl/>
        <w:spacing w:line="360" w:lineRule="auto"/>
        <w:ind w:firstLine="480" w:firstLineChars="200"/>
        <w:jc w:val="left"/>
        <w:rPr>
          <w:rFonts w:eastAsia="仿宋"/>
          <w:sz w:val="24"/>
          <w:szCs w:val="28"/>
        </w:rPr>
      </w:pPr>
      <w:r>
        <w:rPr>
          <w:rFonts w:eastAsia="仿宋"/>
          <w:sz w:val="24"/>
          <w:szCs w:val="28"/>
        </w:rPr>
        <w:t>（5）中标人在本服务中所获取的相关数据和产生的报告，必须提供给</w:t>
      </w:r>
      <w:r>
        <w:rPr>
          <w:rFonts w:hint="eastAsia" w:eastAsia="仿宋"/>
          <w:sz w:val="24"/>
          <w:szCs w:val="28"/>
          <w:lang w:val="en-US" w:eastAsia="zh-CN"/>
        </w:rPr>
        <w:t>慢病科</w:t>
      </w:r>
      <w:r>
        <w:rPr>
          <w:rFonts w:eastAsia="仿宋"/>
          <w:sz w:val="24"/>
          <w:szCs w:val="28"/>
        </w:rPr>
        <w:t>指定人员，不得随意扩散。</w:t>
      </w:r>
    </w:p>
    <w:p w14:paraId="1367E52C">
      <w:pPr>
        <w:widowControl/>
        <w:spacing w:line="360" w:lineRule="auto"/>
        <w:ind w:firstLine="480" w:firstLineChars="200"/>
        <w:jc w:val="left"/>
        <w:rPr>
          <w:rFonts w:eastAsia="仿宋"/>
          <w:sz w:val="24"/>
          <w:szCs w:val="28"/>
        </w:rPr>
      </w:pPr>
      <w:r>
        <w:rPr>
          <w:rFonts w:eastAsia="仿宋"/>
          <w:sz w:val="24"/>
          <w:szCs w:val="28"/>
        </w:rPr>
        <w:t>（6）中标人若有失密行为将承担所有经济、法律责任。</w:t>
      </w:r>
    </w:p>
    <w:p w14:paraId="26101950">
      <w:pPr>
        <w:pStyle w:val="3"/>
        <w:spacing w:line="360" w:lineRule="auto"/>
        <w:rPr>
          <w:rFonts w:ascii="Times New Roman" w:hAnsi="Times New Roman" w:eastAsia="仿宋" w:cs="Times New Roman"/>
          <w:b w:val="0"/>
          <w:bCs w:val="0"/>
          <w:sz w:val="24"/>
          <w:szCs w:val="28"/>
        </w:rPr>
      </w:pPr>
      <w:r>
        <w:rPr>
          <w:rFonts w:ascii="Times New Roman" w:hAnsi="Times New Roman" w:eastAsia="仿宋" w:cs="Times New Roman"/>
          <w:sz w:val="24"/>
          <w:szCs w:val="28"/>
        </w:rPr>
        <w:t>五、付款条件</w:t>
      </w:r>
    </w:p>
    <w:p w14:paraId="3886396E">
      <w:pPr>
        <w:widowControl/>
        <w:spacing w:line="360" w:lineRule="auto"/>
        <w:ind w:firstLine="480" w:firstLineChars="200"/>
        <w:rPr>
          <w:rFonts w:eastAsia="仿宋"/>
          <w:color w:val="000000"/>
          <w:kern w:val="0"/>
          <w:sz w:val="24"/>
        </w:rPr>
      </w:pPr>
      <w:r>
        <w:rPr>
          <w:rFonts w:eastAsia="仿宋"/>
          <w:sz w:val="24"/>
          <w:szCs w:val="28"/>
        </w:rPr>
        <w:t>付款方式：乙方完成甲方提出的</w:t>
      </w:r>
      <w:r>
        <w:rPr>
          <w:rFonts w:hint="eastAsia" w:eastAsia="仿宋"/>
          <w:sz w:val="24"/>
          <w:szCs w:val="28"/>
        </w:rPr>
        <w:t>慢病信息采集数据处理服务</w:t>
      </w:r>
      <w:r>
        <w:rPr>
          <w:rFonts w:eastAsia="仿宋"/>
          <w:sz w:val="24"/>
          <w:szCs w:val="28"/>
        </w:rPr>
        <w:t>，经甲方确认完成后由乙方开具发票，</w:t>
      </w:r>
      <w:r>
        <w:rPr>
          <w:rFonts w:hint="eastAsia" w:eastAsia="仿宋"/>
          <w:sz w:val="24"/>
          <w:szCs w:val="28"/>
        </w:rPr>
        <w:t>1个月内</w:t>
      </w:r>
      <w:r>
        <w:rPr>
          <w:rFonts w:eastAsia="仿宋"/>
          <w:sz w:val="24"/>
          <w:szCs w:val="28"/>
        </w:rPr>
        <w:t>甲方向乙方支付合同金额的100%。</w:t>
      </w:r>
    </w:p>
    <w:p w14:paraId="33E0A28D">
      <w:pPr>
        <w:spacing w:line="360" w:lineRule="auto"/>
        <w:jc w:val="left"/>
        <w:rPr>
          <w:rFonts w:eastAsia="仿宋"/>
          <w:color w:val="000000"/>
          <w:kern w:val="0"/>
          <w:sz w:val="24"/>
        </w:rPr>
      </w:pPr>
    </w:p>
    <w:p w14:paraId="5DC79576">
      <w:pPr>
        <w:spacing w:line="360" w:lineRule="auto"/>
        <w:jc w:val="left"/>
        <w:rPr>
          <w:rFonts w:eastAsia="仿宋"/>
          <w:color w:val="000000"/>
          <w:kern w:val="0"/>
          <w:sz w:val="24"/>
        </w:rPr>
      </w:pPr>
    </w:p>
    <w:p w14:paraId="4F7FE5C2">
      <w:pPr>
        <w:spacing w:line="360" w:lineRule="auto"/>
        <w:jc w:val="left"/>
        <w:rPr>
          <w:color w:val="000000"/>
          <w:kern w:val="0"/>
          <w:sz w:val="24"/>
          <w:szCs w:val="24"/>
        </w:rPr>
      </w:pPr>
      <w:r>
        <w:rPr>
          <w:color w:val="000000"/>
          <w:kern w:val="0"/>
          <w:sz w:val="84"/>
          <w:szCs w:val="84"/>
        </w:rPr>
        <w:br w:type="page"/>
      </w:r>
    </w:p>
    <w:p w14:paraId="16DC194D">
      <w:pPr>
        <w:spacing w:line="360" w:lineRule="auto"/>
        <w:jc w:val="center"/>
      </w:pPr>
      <w:r>
        <w:rPr>
          <w:color w:val="000000"/>
          <w:kern w:val="0"/>
          <w:sz w:val="84"/>
          <w:szCs w:val="84"/>
        </w:rPr>
        <w:t>投标文件</w:t>
      </w:r>
    </w:p>
    <w:p w14:paraId="19DEB26C">
      <w:pPr>
        <w:widowControl/>
        <w:jc w:val="center"/>
      </w:pPr>
      <w:r>
        <w:rPr>
          <w:color w:val="000000"/>
          <w:kern w:val="0"/>
          <w:sz w:val="43"/>
          <w:szCs w:val="43"/>
        </w:rPr>
        <w:t>【正/副本】</w:t>
      </w:r>
    </w:p>
    <w:p w14:paraId="0ED212C9">
      <w:pPr>
        <w:widowControl/>
        <w:jc w:val="left"/>
        <w:rPr>
          <w:rFonts w:eastAsia="黑体"/>
          <w:color w:val="000000"/>
          <w:kern w:val="0"/>
          <w:sz w:val="28"/>
          <w:szCs w:val="28"/>
        </w:rPr>
      </w:pPr>
    </w:p>
    <w:p w14:paraId="649F0A93">
      <w:pPr>
        <w:widowControl/>
        <w:jc w:val="left"/>
        <w:rPr>
          <w:rFonts w:eastAsia="黑体"/>
          <w:color w:val="000000"/>
          <w:kern w:val="0"/>
          <w:sz w:val="28"/>
          <w:szCs w:val="28"/>
        </w:rPr>
      </w:pPr>
    </w:p>
    <w:p w14:paraId="0E2AD573">
      <w:pPr>
        <w:widowControl/>
        <w:jc w:val="center"/>
      </w:pPr>
      <w:r>
        <w:rPr>
          <w:rFonts w:eastAsia="黑体"/>
          <w:color w:val="000000"/>
          <w:kern w:val="0"/>
          <w:sz w:val="28"/>
          <w:szCs w:val="28"/>
        </w:rPr>
        <w:t>（服务名称）</w:t>
      </w:r>
    </w:p>
    <w:p w14:paraId="6E221863">
      <w:pPr>
        <w:widowControl/>
        <w:jc w:val="left"/>
      </w:pPr>
    </w:p>
    <w:p w14:paraId="174139A2">
      <w:pPr>
        <w:pStyle w:val="27"/>
        <w:ind w:firstLine="420"/>
        <w:rPr>
          <w:rFonts w:ascii="Times New Roman" w:hAnsi="Times New Roman"/>
          <w:lang w:val="en-US"/>
        </w:rPr>
      </w:pPr>
    </w:p>
    <w:p w14:paraId="2FA39CB0">
      <w:pPr>
        <w:pStyle w:val="27"/>
        <w:ind w:firstLine="420"/>
        <w:rPr>
          <w:rFonts w:ascii="Times New Roman" w:hAnsi="Times New Roman"/>
          <w:lang w:val="en-US"/>
        </w:rPr>
      </w:pPr>
    </w:p>
    <w:p w14:paraId="59D2F136">
      <w:pPr>
        <w:pStyle w:val="27"/>
        <w:ind w:firstLine="420"/>
        <w:rPr>
          <w:rFonts w:ascii="Times New Roman" w:hAnsi="Times New Roman"/>
          <w:lang w:val="en-US"/>
        </w:rPr>
      </w:pPr>
    </w:p>
    <w:p w14:paraId="33A3C14D">
      <w:pPr>
        <w:pStyle w:val="27"/>
        <w:ind w:firstLine="420"/>
        <w:rPr>
          <w:rFonts w:ascii="Times New Roman" w:hAnsi="Times New Roman"/>
          <w:lang w:val="en-US"/>
        </w:rPr>
      </w:pPr>
    </w:p>
    <w:p w14:paraId="5130F690">
      <w:pPr>
        <w:pStyle w:val="27"/>
        <w:ind w:firstLine="420"/>
        <w:rPr>
          <w:rFonts w:ascii="Times New Roman" w:hAnsi="Times New Roman"/>
          <w:lang w:val="en-US"/>
        </w:rPr>
      </w:pPr>
    </w:p>
    <w:p w14:paraId="68C71705">
      <w:pPr>
        <w:pStyle w:val="27"/>
        <w:ind w:firstLine="420"/>
        <w:rPr>
          <w:rFonts w:ascii="Times New Roman" w:hAnsi="Times New Roman"/>
          <w:lang w:val="en-US"/>
        </w:rPr>
      </w:pPr>
    </w:p>
    <w:p w14:paraId="2249AAE0">
      <w:pPr>
        <w:pStyle w:val="27"/>
        <w:ind w:firstLine="420"/>
        <w:rPr>
          <w:rFonts w:ascii="Times New Roman" w:hAnsi="Times New Roman"/>
          <w:lang w:val="en-US"/>
        </w:rPr>
      </w:pPr>
    </w:p>
    <w:p w14:paraId="2653FDB6">
      <w:pPr>
        <w:widowControl/>
        <w:jc w:val="center"/>
      </w:pPr>
      <w:r>
        <w:rPr>
          <w:rFonts w:eastAsia="黑体"/>
          <w:color w:val="000000"/>
          <w:kern w:val="0"/>
          <w:sz w:val="28"/>
          <w:szCs w:val="28"/>
        </w:rPr>
        <w:t>供应商：（盖单位章）</w:t>
      </w:r>
    </w:p>
    <w:p w14:paraId="41DBC201">
      <w:pPr>
        <w:widowControl/>
        <w:jc w:val="center"/>
      </w:pPr>
      <w:r>
        <w:rPr>
          <w:rFonts w:eastAsia="黑体"/>
          <w:color w:val="000000"/>
          <w:kern w:val="0"/>
          <w:sz w:val="28"/>
          <w:szCs w:val="28"/>
        </w:rPr>
        <w:t>法定代表人或其委托代理人：（签字）</w:t>
      </w:r>
    </w:p>
    <w:p w14:paraId="7CA7C513">
      <w:pPr>
        <w:widowControl/>
        <w:ind w:firstLine="3640" w:firstLineChars="1300"/>
        <w:jc w:val="left"/>
        <w:rPr>
          <w:rFonts w:eastAsia="黑体"/>
          <w:color w:val="000000"/>
          <w:kern w:val="0"/>
          <w:sz w:val="28"/>
          <w:szCs w:val="28"/>
        </w:rPr>
      </w:pPr>
    </w:p>
    <w:p w14:paraId="341C825C">
      <w:pPr>
        <w:widowControl/>
        <w:ind w:firstLine="3640" w:firstLineChars="1300"/>
        <w:jc w:val="left"/>
        <w:rPr>
          <w:rFonts w:eastAsia="黑体"/>
          <w:color w:val="000000"/>
          <w:kern w:val="0"/>
          <w:sz w:val="28"/>
          <w:szCs w:val="28"/>
        </w:rPr>
      </w:pPr>
    </w:p>
    <w:p w14:paraId="02B8510D">
      <w:pPr>
        <w:widowControl/>
        <w:ind w:firstLine="3640" w:firstLineChars="1300"/>
        <w:jc w:val="left"/>
        <w:rPr>
          <w:rFonts w:eastAsia="黑体"/>
          <w:color w:val="000000"/>
          <w:kern w:val="0"/>
          <w:sz w:val="28"/>
          <w:szCs w:val="28"/>
        </w:rPr>
      </w:pPr>
    </w:p>
    <w:p w14:paraId="7E08E54A">
      <w:pPr>
        <w:widowControl/>
        <w:jc w:val="left"/>
        <w:rPr>
          <w:rFonts w:eastAsia="黑体"/>
          <w:color w:val="000000"/>
          <w:kern w:val="0"/>
          <w:sz w:val="28"/>
          <w:szCs w:val="28"/>
        </w:rPr>
      </w:pPr>
    </w:p>
    <w:p w14:paraId="5C75E12D">
      <w:pPr>
        <w:spacing w:line="360" w:lineRule="auto"/>
        <w:ind w:firstLine="422" w:firstLineChars="200"/>
        <w:jc w:val="left"/>
        <w:rPr>
          <w:b/>
          <w:bCs/>
          <w:color w:val="000000"/>
          <w:kern w:val="0"/>
        </w:rPr>
      </w:pPr>
      <w:r>
        <w:rPr>
          <w:b/>
          <w:bCs/>
          <w:color w:val="000000"/>
          <w:kern w:val="0"/>
        </w:rPr>
        <w:t xml:space="preserve">供应商根据综合评分的评审因素及评分标准编制以下格式的评分索引表格。否则，可能影响对响应文件的评价。 </w:t>
      </w:r>
    </w:p>
    <w:p w14:paraId="38C64FFD">
      <w:pPr>
        <w:widowControl/>
        <w:ind w:firstLine="3640" w:firstLineChars="1300"/>
        <w:jc w:val="left"/>
      </w:pPr>
      <w:r>
        <w:rPr>
          <w:rFonts w:eastAsia="黑体"/>
          <w:color w:val="000000"/>
          <w:kern w:val="0"/>
          <w:sz w:val="28"/>
          <w:szCs w:val="28"/>
        </w:rPr>
        <w:t xml:space="preserve">目录 </w:t>
      </w:r>
    </w:p>
    <w:p w14:paraId="045BF2DA">
      <w:pPr>
        <w:widowControl/>
        <w:jc w:val="left"/>
        <w:rPr>
          <w:rFonts w:eastAsia="黑体"/>
          <w:color w:val="000000"/>
          <w:kern w:val="0"/>
          <w:sz w:val="28"/>
          <w:szCs w:val="28"/>
        </w:rPr>
      </w:pPr>
      <w:r>
        <w:rPr>
          <w:rFonts w:eastAsia="黑体"/>
          <w:color w:val="000000"/>
          <w:kern w:val="0"/>
          <w:sz w:val="28"/>
          <w:szCs w:val="28"/>
        </w:rPr>
        <w:t xml:space="preserve">（注：供应商根据附件顺序编制投标文件并制作目录（须生成页码）） </w:t>
      </w:r>
    </w:p>
    <w:p w14:paraId="75F23CEB">
      <w:pPr>
        <w:pStyle w:val="27"/>
        <w:ind w:firstLine="560"/>
        <w:rPr>
          <w:rFonts w:ascii="Times New Roman" w:hAnsi="Times New Roman" w:eastAsia="黑体"/>
          <w:color w:val="000000"/>
          <w:kern w:val="0"/>
          <w:sz w:val="28"/>
          <w:szCs w:val="28"/>
          <w:lang w:val="en-US"/>
        </w:rPr>
      </w:pPr>
    </w:p>
    <w:p w14:paraId="077DF4A8">
      <w:pPr>
        <w:pStyle w:val="27"/>
        <w:ind w:firstLine="0" w:firstLineChars="0"/>
        <w:rPr>
          <w:rFonts w:ascii="Times New Roman" w:hAnsi="Times New Roman" w:eastAsia="黑体"/>
          <w:color w:val="000000"/>
          <w:kern w:val="0"/>
          <w:sz w:val="28"/>
          <w:szCs w:val="28"/>
          <w:lang w:val="en-US"/>
        </w:rPr>
      </w:pPr>
    </w:p>
    <w:p w14:paraId="17AEEC04">
      <w:pPr>
        <w:spacing w:line="440" w:lineRule="exact"/>
        <w:rPr>
          <w:kern w:val="0"/>
        </w:rPr>
      </w:pPr>
      <w:r>
        <w:rPr>
          <w:b/>
          <w:bCs/>
          <w:kern w:val="0"/>
        </w:rPr>
        <w:t>附件一、投标申请及声明格式</w:t>
      </w:r>
    </w:p>
    <w:p w14:paraId="0752F50D">
      <w:pPr>
        <w:widowControl/>
        <w:shd w:val="clear" w:color="auto" w:fill="FFFFFF"/>
        <w:spacing w:line="360" w:lineRule="auto"/>
        <w:jc w:val="center"/>
        <w:rPr>
          <w:b/>
          <w:kern w:val="0"/>
          <w:sz w:val="36"/>
          <w:szCs w:val="36"/>
        </w:rPr>
      </w:pPr>
      <w:r>
        <w:rPr>
          <w:b/>
          <w:kern w:val="0"/>
          <w:sz w:val="36"/>
          <w:szCs w:val="36"/>
        </w:rPr>
        <w:t>投标申请及声明</w:t>
      </w:r>
    </w:p>
    <w:p w14:paraId="7B14F6CB">
      <w:pPr>
        <w:widowControl/>
        <w:shd w:val="clear" w:color="auto" w:fill="FFFFFF"/>
        <w:spacing w:line="360" w:lineRule="auto"/>
        <w:jc w:val="center"/>
        <w:rPr>
          <w:b/>
          <w:kern w:val="0"/>
          <w:sz w:val="36"/>
          <w:szCs w:val="36"/>
        </w:rPr>
      </w:pPr>
    </w:p>
    <w:p w14:paraId="5371AB93">
      <w:pPr>
        <w:widowControl/>
        <w:shd w:val="clear" w:color="auto" w:fill="FFFFFF"/>
        <w:spacing w:line="360" w:lineRule="auto"/>
        <w:rPr>
          <w:kern w:val="0"/>
        </w:rPr>
      </w:pPr>
      <w:r>
        <w:rPr>
          <w:kern w:val="0"/>
        </w:rPr>
        <w:t> 致：南京市疾病预防控制中心</w:t>
      </w:r>
    </w:p>
    <w:p w14:paraId="7C597EA9">
      <w:pPr>
        <w:widowControl/>
        <w:shd w:val="clear" w:color="auto" w:fill="FFFFFF"/>
        <w:spacing w:line="360" w:lineRule="auto"/>
        <w:ind w:firstLine="420"/>
        <w:rPr>
          <w:kern w:val="0"/>
        </w:rPr>
      </w:pPr>
      <w:r>
        <w:rPr>
          <w:kern w:val="0"/>
        </w:rPr>
        <w:t>根据贵方</w:t>
      </w:r>
      <w:r>
        <w:rPr>
          <w:kern w:val="0"/>
          <w:u w:val="single"/>
        </w:rPr>
        <w:t>           </w:t>
      </w:r>
      <w:r>
        <w:rPr>
          <w:b/>
          <w:bCs/>
          <w:kern w:val="0"/>
          <w:u w:val="single"/>
        </w:rPr>
        <w:t>（</w:t>
      </w:r>
      <w:r>
        <w:rPr>
          <w:kern w:val="0"/>
        </w:rPr>
        <w:t>服务名称） 投标邀请，正式授权下述签字人</w:t>
      </w:r>
      <w:r>
        <w:rPr>
          <w:kern w:val="0"/>
          <w:u w:val="single"/>
        </w:rPr>
        <w:t>           </w:t>
      </w:r>
      <w:r>
        <w:rPr>
          <w:kern w:val="0"/>
        </w:rPr>
        <w:t>(姓名和职务)代表投标人</w:t>
      </w:r>
      <w:r>
        <w:rPr>
          <w:kern w:val="0"/>
          <w:u w:val="single"/>
        </w:rPr>
        <w:t>     </w:t>
      </w:r>
      <w:r>
        <w:rPr>
          <w:kern w:val="0"/>
        </w:rPr>
        <w:t>（投标人名称），提交投标文件。</w:t>
      </w:r>
    </w:p>
    <w:p w14:paraId="24C3956B">
      <w:pPr>
        <w:widowControl/>
        <w:shd w:val="clear" w:color="auto" w:fill="FFFFFF"/>
        <w:spacing w:line="360" w:lineRule="auto"/>
        <w:ind w:firstLine="420"/>
        <w:rPr>
          <w:kern w:val="0"/>
        </w:rPr>
      </w:pPr>
      <w:r>
        <w:rPr>
          <w:kern w:val="0"/>
        </w:rPr>
        <w:t>据此函，签字人兹宣布声明和承诺如下：</w:t>
      </w:r>
    </w:p>
    <w:p w14:paraId="62340F46">
      <w:pPr>
        <w:widowControl/>
        <w:shd w:val="clear" w:color="auto" w:fill="FFFFFF"/>
        <w:spacing w:line="360" w:lineRule="auto"/>
        <w:ind w:firstLine="420"/>
        <w:rPr>
          <w:kern w:val="0"/>
        </w:rPr>
      </w:pPr>
      <w:r>
        <w:rPr>
          <w:kern w:val="0"/>
        </w:rPr>
        <w:t>1、</w:t>
      </w:r>
      <w:r>
        <w:rPr>
          <w:b/>
          <w:bCs/>
          <w:kern w:val="0"/>
        </w:rPr>
        <w:t>我们的资格条件完全符合政府采购法和本次招标要求</w:t>
      </w:r>
      <w:r>
        <w:rPr>
          <w:kern w:val="0"/>
        </w:rPr>
        <w:t>，我们同意并向贵方提供了与投标有关的所有证据和资料。</w:t>
      </w:r>
    </w:p>
    <w:p w14:paraId="67410AC8">
      <w:pPr>
        <w:widowControl/>
        <w:shd w:val="clear" w:color="auto" w:fill="FFFFFF"/>
        <w:spacing w:line="360" w:lineRule="auto"/>
        <w:ind w:left="1470" w:hanging="1050"/>
        <w:rPr>
          <w:kern w:val="0"/>
        </w:rPr>
      </w:pPr>
      <w:r>
        <w:rPr>
          <w:kern w:val="0"/>
        </w:rPr>
        <w:t xml:space="preserve">2、按招标要求，我们的投标报价为 </w:t>
      </w:r>
      <w:r>
        <w:rPr>
          <w:kern w:val="0"/>
          <w:u w:val="single"/>
        </w:rPr>
        <w:t xml:space="preserve">        </w:t>
      </w:r>
      <w:r>
        <w:rPr>
          <w:kern w:val="0"/>
        </w:rPr>
        <w:t>元人民币。</w:t>
      </w:r>
    </w:p>
    <w:p w14:paraId="2BEF74AC">
      <w:pPr>
        <w:widowControl/>
        <w:shd w:val="clear" w:color="auto" w:fill="FFFFFF"/>
        <w:spacing w:line="360" w:lineRule="auto"/>
        <w:ind w:firstLine="420"/>
        <w:rPr>
          <w:kern w:val="0"/>
        </w:rPr>
      </w:pPr>
      <w:r>
        <w:rPr>
          <w:kern w:val="0"/>
        </w:rPr>
        <w:t>3、本服务交付时间为：</w:t>
      </w:r>
      <w:r>
        <w:rPr>
          <w:kern w:val="0"/>
          <w:u w:val="single"/>
        </w:rPr>
        <w:t xml:space="preserve">  满足招标文件要求  </w:t>
      </w:r>
      <w:r>
        <w:rPr>
          <w:kern w:val="0"/>
        </w:rPr>
        <w:t>。</w:t>
      </w:r>
    </w:p>
    <w:p w14:paraId="0CBC2683">
      <w:pPr>
        <w:widowControl/>
        <w:shd w:val="clear" w:color="auto" w:fill="FFFFFF"/>
        <w:spacing w:line="360" w:lineRule="auto"/>
        <w:ind w:firstLine="420"/>
        <w:rPr>
          <w:kern w:val="0"/>
        </w:rPr>
      </w:pPr>
      <w:r>
        <w:rPr>
          <w:kern w:val="0"/>
        </w:rPr>
        <w:t>4、我们已详细阅读全部招标文件及其有效补充文件，我们放弃对招标文件任何误解的权利，提交投标文件后，</w:t>
      </w:r>
      <w:r>
        <w:rPr>
          <w:b/>
          <w:bCs/>
          <w:kern w:val="0"/>
        </w:rPr>
        <w:t>不对招标文件本身提出质疑</w:t>
      </w:r>
      <w:r>
        <w:rPr>
          <w:kern w:val="0"/>
        </w:rPr>
        <w:t>。</w:t>
      </w:r>
    </w:p>
    <w:p w14:paraId="08FA265C">
      <w:pPr>
        <w:widowControl/>
        <w:shd w:val="clear" w:color="auto" w:fill="FFFFFF"/>
        <w:spacing w:line="360" w:lineRule="auto"/>
        <w:ind w:firstLine="420"/>
        <w:rPr>
          <w:kern w:val="0"/>
        </w:rPr>
      </w:pPr>
      <w:r>
        <w:rPr>
          <w:kern w:val="0"/>
        </w:rPr>
        <w:t>5、我们同意从规定的开标日期起遵循本投标文件，并在规定的投标有效期期满之前均具有约束力。</w:t>
      </w:r>
    </w:p>
    <w:p w14:paraId="65ABE1F1">
      <w:pPr>
        <w:widowControl/>
        <w:shd w:val="clear" w:color="auto" w:fill="FFFFFF"/>
        <w:spacing w:line="360" w:lineRule="auto"/>
        <w:ind w:firstLine="420"/>
        <w:rPr>
          <w:kern w:val="0"/>
        </w:rPr>
      </w:pPr>
      <w:r>
        <w:rPr>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kern w:val="0"/>
        </w:rPr>
        <w:t>。</w:t>
      </w:r>
    </w:p>
    <w:p w14:paraId="04D2ED7F">
      <w:pPr>
        <w:widowControl/>
        <w:shd w:val="clear" w:color="auto" w:fill="FFFFFF"/>
        <w:spacing w:line="360" w:lineRule="auto"/>
        <w:ind w:firstLine="420"/>
        <w:rPr>
          <w:kern w:val="0"/>
        </w:rPr>
      </w:pPr>
      <w:r>
        <w:rPr>
          <w:kern w:val="0"/>
        </w:rPr>
        <w:t>7、一旦我方中标，我方将根据招标文件的规定严格履行合同，并保证于承诺的时间完成货物的启动/集成、调试等服务，交付采购人验收、使用。</w:t>
      </w:r>
    </w:p>
    <w:p w14:paraId="1EDD6069">
      <w:pPr>
        <w:widowControl/>
        <w:shd w:val="clear" w:color="auto" w:fill="FFFFFF"/>
        <w:spacing w:line="360" w:lineRule="auto"/>
        <w:ind w:firstLine="420"/>
        <w:rPr>
          <w:kern w:val="0"/>
        </w:rPr>
      </w:pPr>
      <w:r>
        <w:rPr>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567AC4EF">
      <w:pPr>
        <w:widowControl/>
        <w:shd w:val="clear" w:color="auto" w:fill="FFFFFF"/>
        <w:spacing w:line="360" w:lineRule="auto"/>
        <w:ind w:firstLine="420"/>
        <w:rPr>
          <w:kern w:val="0"/>
        </w:rPr>
      </w:pPr>
      <w:r>
        <w:rPr>
          <w:kern w:val="0"/>
        </w:rPr>
        <w:t>9、与本投标有关的正式联系方式为：</w:t>
      </w:r>
    </w:p>
    <w:p w14:paraId="310250A8">
      <w:pPr>
        <w:widowControl/>
        <w:shd w:val="clear" w:color="auto" w:fill="FFFFFF"/>
        <w:spacing w:line="360" w:lineRule="auto"/>
        <w:ind w:firstLine="420"/>
        <w:rPr>
          <w:kern w:val="0"/>
        </w:rPr>
      </w:pPr>
      <w:r>
        <w:rPr>
          <w:kern w:val="0"/>
        </w:rPr>
        <w:t>地   址：</w:t>
      </w:r>
      <w:r>
        <w:rPr>
          <w:kern w:val="0"/>
          <w:u w:val="single"/>
        </w:rPr>
        <w:t>                      </w:t>
      </w:r>
    </w:p>
    <w:p w14:paraId="1FC45689">
      <w:pPr>
        <w:widowControl/>
        <w:shd w:val="clear" w:color="auto" w:fill="FFFFFF"/>
        <w:spacing w:line="360" w:lineRule="auto"/>
        <w:ind w:firstLine="420"/>
        <w:rPr>
          <w:kern w:val="0"/>
        </w:rPr>
      </w:pPr>
      <w:r>
        <w:rPr>
          <w:kern w:val="0"/>
        </w:rPr>
        <w:t>电   话：</w:t>
      </w:r>
      <w:r>
        <w:rPr>
          <w:kern w:val="0"/>
          <w:u w:val="single"/>
        </w:rPr>
        <w:t>                      </w:t>
      </w:r>
    </w:p>
    <w:p w14:paraId="2694E077">
      <w:pPr>
        <w:widowControl/>
        <w:shd w:val="clear" w:color="auto" w:fill="FFFFFF"/>
        <w:spacing w:line="360" w:lineRule="auto"/>
        <w:ind w:firstLine="420"/>
        <w:rPr>
          <w:kern w:val="0"/>
        </w:rPr>
      </w:pPr>
      <w:r>
        <w:rPr>
          <w:kern w:val="0"/>
        </w:rPr>
        <w:t>传   真：</w:t>
      </w:r>
      <w:r>
        <w:rPr>
          <w:kern w:val="0"/>
          <w:u w:val="single"/>
        </w:rPr>
        <w:t>                      </w:t>
      </w:r>
    </w:p>
    <w:p w14:paraId="55EB1BA5">
      <w:pPr>
        <w:widowControl/>
        <w:shd w:val="clear" w:color="auto" w:fill="FFFFFF"/>
        <w:spacing w:line="360" w:lineRule="auto"/>
        <w:ind w:firstLine="420"/>
        <w:rPr>
          <w:kern w:val="0"/>
        </w:rPr>
      </w:pPr>
      <w:r>
        <w:rPr>
          <w:kern w:val="0"/>
        </w:rPr>
        <w:t>开户银行：</w:t>
      </w:r>
    </w:p>
    <w:p w14:paraId="0D79DEE3">
      <w:pPr>
        <w:widowControl/>
        <w:shd w:val="clear" w:color="auto" w:fill="FFFFFF"/>
        <w:spacing w:line="360" w:lineRule="auto"/>
        <w:ind w:firstLine="420"/>
        <w:rPr>
          <w:kern w:val="0"/>
        </w:rPr>
      </w:pPr>
      <w:r>
        <w:rPr>
          <w:kern w:val="0"/>
        </w:rPr>
        <w:t>银行账号：</w:t>
      </w:r>
    </w:p>
    <w:p w14:paraId="3F443FD2">
      <w:pPr>
        <w:widowControl/>
        <w:shd w:val="clear" w:color="auto" w:fill="FFFFFF"/>
        <w:spacing w:line="360" w:lineRule="auto"/>
        <w:ind w:firstLine="420"/>
        <w:rPr>
          <w:kern w:val="0"/>
        </w:rPr>
      </w:pPr>
      <w:r>
        <w:rPr>
          <w:kern w:val="0"/>
        </w:rPr>
        <w:t>投标人授权代表姓名（签字）：</w:t>
      </w:r>
      <w:r>
        <w:rPr>
          <w:kern w:val="0"/>
          <w:u w:val="single"/>
        </w:rPr>
        <w:t>        </w:t>
      </w:r>
    </w:p>
    <w:p w14:paraId="1886ED1A">
      <w:pPr>
        <w:widowControl/>
        <w:shd w:val="clear" w:color="auto" w:fill="FFFFFF"/>
        <w:spacing w:line="360" w:lineRule="auto"/>
        <w:ind w:firstLine="420"/>
        <w:rPr>
          <w:kern w:val="0"/>
        </w:rPr>
      </w:pPr>
      <w:r>
        <w:rPr>
          <w:kern w:val="0"/>
        </w:rPr>
        <w:t>投标人名称：</w:t>
      </w:r>
      <w:r>
        <w:rPr>
          <w:kern w:val="0"/>
          <w:u w:val="single"/>
        </w:rPr>
        <w:t>                 </w:t>
      </w:r>
      <w:r>
        <w:rPr>
          <w:kern w:val="0"/>
        </w:rPr>
        <w:t>（盖章）</w:t>
      </w:r>
    </w:p>
    <w:p w14:paraId="17F8B1E8">
      <w:pPr>
        <w:widowControl/>
        <w:shd w:val="clear" w:color="auto" w:fill="FFFFFF"/>
        <w:spacing w:line="360" w:lineRule="auto"/>
        <w:ind w:firstLine="420"/>
        <w:rPr>
          <w:kern w:val="0"/>
        </w:rPr>
      </w:pPr>
      <w:r>
        <w:rPr>
          <w:kern w:val="0"/>
        </w:rPr>
        <w:t>日    期：</w:t>
      </w:r>
      <w:r>
        <w:rPr>
          <w:kern w:val="0"/>
          <w:u w:val="single"/>
        </w:rPr>
        <w:t>     </w:t>
      </w:r>
      <w:r>
        <w:rPr>
          <w:kern w:val="0"/>
        </w:rPr>
        <w:t>年</w:t>
      </w:r>
      <w:r>
        <w:rPr>
          <w:kern w:val="0"/>
          <w:u w:val="single"/>
        </w:rPr>
        <w:t>    </w:t>
      </w:r>
      <w:r>
        <w:rPr>
          <w:kern w:val="0"/>
        </w:rPr>
        <w:t>月</w:t>
      </w:r>
      <w:r>
        <w:rPr>
          <w:kern w:val="0"/>
          <w:u w:val="single"/>
        </w:rPr>
        <w:t>    </w:t>
      </w:r>
      <w:r>
        <w:rPr>
          <w:kern w:val="0"/>
        </w:rPr>
        <w:t>日</w:t>
      </w:r>
    </w:p>
    <w:p w14:paraId="57705FF9">
      <w:pPr>
        <w:widowControl/>
        <w:jc w:val="left"/>
        <w:rPr>
          <w:b/>
          <w:color w:val="000000"/>
          <w:kern w:val="0"/>
        </w:rPr>
      </w:pPr>
      <w:r>
        <w:rPr>
          <w:b/>
          <w:bCs/>
          <w:kern w:val="0"/>
        </w:rPr>
        <w:br w:type="page"/>
      </w:r>
    </w:p>
    <w:p w14:paraId="054AB152">
      <w:pPr>
        <w:widowControl/>
        <w:jc w:val="left"/>
        <w:rPr>
          <w:b/>
          <w:bCs/>
          <w:color w:val="000000"/>
          <w:kern w:val="0"/>
          <w:sz w:val="28"/>
          <w:szCs w:val="28"/>
        </w:rPr>
      </w:pPr>
      <w:r>
        <w:rPr>
          <w:b/>
          <w:bCs/>
          <w:color w:val="000000"/>
          <w:kern w:val="0"/>
          <w:sz w:val="28"/>
          <w:szCs w:val="28"/>
        </w:rPr>
        <w:t xml:space="preserve">附件二、法定代表人授权委托书格式 </w:t>
      </w:r>
    </w:p>
    <w:p w14:paraId="404CEC82">
      <w:pPr>
        <w:widowControl/>
        <w:jc w:val="center"/>
      </w:pPr>
      <w:r>
        <w:rPr>
          <w:b/>
          <w:bCs/>
          <w:color w:val="000000"/>
          <w:kern w:val="0"/>
          <w:sz w:val="28"/>
          <w:szCs w:val="28"/>
        </w:rPr>
        <w:t>法定代表人授权委托书</w:t>
      </w:r>
    </w:p>
    <w:p w14:paraId="4F4E304F">
      <w:pPr>
        <w:widowControl/>
        <w:spacing w:line="360" w:lineRule="auto"/>
        <w:ind w:firstLine="420" w:firstLineChars="200"/>
        <w:jc w:val="left"/>
        <w:rPr>
          <w:color w:val="000000"/>
          <w:kern w:val="0"/>
        </w:rPr>
      </w:pPr>
      <w:r>
        <w:rPr>
          <w:color w:val="000000"/>
          <w:kern w:val="0"/>
        </w:rPr>
        <w:t xml:space="preserve">致：南京市疾病预防控制中心 </w:t>
      </w:r>
    </w:p>
    <w:p w14:paraId="7B8AEE1F">
      <w:pPr>
        <w:widowControl/>
        <w:spacing w:line="360" w:lineRule="auto"/>
        <w:ind w:firstLine="420" w:firstLineChars="200"/>
        <w:jc w:val="left"/>
        <w:rPr>
          <w:color w:val="000000"/>
          <w:kern w:val="0"/>
        </w:rPr>
      </w:pPr>
      <w:r>
        <w:rPr>
          <w:color w:val="000000"/>
          <w:kern w:val="0"/>
        </w:rPr>
        <w:t xml:space="preserve">本授权书声明：注册于                    （供应商住址）的                   （供应商名称）法定代表人                      （法定代表人姓名、职务）代表本公司授权 </w:t>
      </w:r>
    </w:p>
    <w:p w14:paraId="57BA06B2">
      <w:pPr>
        <w:widowControl/>
        <w:spacing w:line="360" w:lineRule="auto"/>
        <w:ind w:firstLine="420" w:firstLineChars="200"/>
        <w:jc w:val="left"/>
        <w:rPr>
          <w:color w:val="000000"/>
          <w:kern w:val="0"/>
        </w:rPr>
      </w:pPr>
      <w:r>
        <w:rPr>
          <w:color w:val="000000"/>
          <w:kern w:val="0"/>
        </w:rPr>
        <w:t xml:space="preserve">在下面签字的                   （供应商代表姓名、职务）为本公司的合法代理人，就贵方组织的               （服务名称），              （服务编号）投标，以本公司名义处理一切与之有关的事务。 </w:t>
      </w:r>
    </w:p>
    <w:p w14:paraId="4E04C6F5">
      <w:pPr>
        <w:widowControl/>
        <w:spacing w:line="360" w:lineRule="auto"/>
        <w:ind w:firstLine="420" w:firstLineChars="200"/>
        <w:jc w:val="left"/>
        <w:rPr>
          <w:color w:val="000000"/>
          <w:kern w:val="0"/>
        </w:rPr>
      </w:pPr>
      <w:r>
        <w:rPr>
          <w:color w:val="000000"/>
          <w:kern w:val="0"/>
        </w:rPr>
        <w:t xml:space="preserve">本授权书于    年   月    日签字生效，特此声明。 </w:t>
      </w:r>
    </w:p>
    <w:p w14:paraId="3E505D60">
      <w:pPr>
        <w:widowControl/>
        <w:spacing w:line="360" w:lineRule="auto"/>
        <w:ind w:firstLine="420" w:firstLineChars="200"/>
        <w:jc w:val="left"/>
        <w:rPr>
          <w:color w:val="000000"/>
          <w:kern w:val="0"/>
        </w:rPr>
      </w:pPr>
      <w:r>
        <w:rPr>
          <w:color w:val="000000"/>
          <w:kern w:val="0"/>
        </w:rPr>
        <w:t xml:space="preserve">法定代表人签字： </w:t>
      </w:r>
    </w:p>
    <w:p w14:paraId="66D130F9">
      <w:pPr>
        <w:widowControl/>
        <w:spacing w:line="360" w:lineRule="auto"/>
        <w:ind w:firstLine="420" w:firstLineChars="200"/>
        <w:jc w:val="left"/>
        <w:rPr>
          <w:color w:val="000000"/>
          <w:kern w:val="0"/>
        </w:rPr>
      </w:pPr>
      <w:r>
        <w:rPr>
          <w:color w:val="000000"/>
          <w:kern w:val="0"/>
        </w:rPr>
        <w:t xml:space="preserve">授权委托人签字： </w:t>
      </w:r>
    </w:p>
    <w:p w14:paraId="4394717E">
      <w:pPr>
        <w:widowControl/>
        <w:spacing w:line="360" w:lineRule="auto"/>
        <w:ind w:firstLine="420" w:firstLineChars="200"/>
        <w:jc w:val="left"/>
        <w:rPr>
          <w:color w:val="000000"/>
          <w:kern w:val="0"/>
        </w:rPr>
      </w:pPr>
      <w:r>
        <w:rPr>
          <w:color w:val="000000"/>
          <w:kern w:val="0"/>
        </w:rPr>
        <w:t xml:space="preserve">日 期： 年 月 日 </w:t>
      </w:r>
    </w:p>
    <w:p w14:paraId="7FDDFB36">
      <w:pPr>
        <w:widowControl/>
        <w:spacing w:line="360" w:lineRule="auto"/>
        <w:ind w:firstLine="420" w:firstLineChars="200"/>
        <w:jc w:val="left"/>
        <w:rPr>
          <w:color w:val="000000"/>
          <w:kern w:val="0"/>
        </w:rPr>
      </w:pPr>
      <w:r>
        <w:rPr>
          <w:color w:val="000000"/>
          <w:kern w:val="0"/>
        </w:rPr>
        <w:t xml:space="preserve">委托代理人的身份证明文件的复印件: </w:t>
      </w:r>
    </w:p>
    <w:p w14:paraId="5275DC96">
      <w:pPr>
        <w:widowControl/>
        <w:jc w:val="left"/>
        <w:rPr>
          <w:b/>
          <w:color w:val="000000"/>
          <w:kern w:val="0"/>
        </w:rPr>
      </w:pPr>
    </w:p>
    <w:p w14:paraId="3A2D7BD0">
      <w:pPr>
        <w:widowControl/>
        <w:jc w:val="left"/>
        <w:rPr>
          <w:b/>
          <w:color w:val="000000"/>
          <w:kern w:val="0"/>
        </w:rPr>
      </w:pPr>
    </w:p>
    <w:p w14:paraId="2048E1AB">
      <w:pPr>
        <w:widowControl/>
        <w:jc w:val="left"/>
        <w:rPr>
          <w:b/>
          <w:color w:val="000000"/>
          <w:kern w:val="0"/>
        </w:rPr>
      </w:pPr>
    </w:p>
    <w:p w14:paraId="298B2B12">
      <w:pPr>
        <w:widowControl/>
        <w:jc w:val="left"/>
        <w:rPr>
          <w:b/>
          <w:bCs/>
          <w:color w:val="000000"/>
          <w:kern w:val="0"/>
          <w:sz w:val="28"/>
          <w:szCs w:val="28"/>
        </w:rPr>
      </w:pPr>
    </w:p>
    <w:p w14:paraId="0641D524">
      <w:pPr>
        <w:widowControl/>
        <w:jc w:val="left"/>
        <w:rPr>
          <w:b/>
          <w:bCs/>
          <w:color w:val="000000"/>
          <w:kern w:val="0"/>
          <w:sz w:val="28"/>
          <w:szCs w:val="28"/>
        </w:rPr>
      </w:pPr>
    </w:p>
    <w:p w14:paraId="66A4335E">
      <w:pPr>
        <w:widowControl/>
        <w:jc w:val="left"/>
        <w:rPr>
          <w:b/>
          <w:bCs/>
          <w:color w:val="000000"/>
          <w:kern w:val="0"/>
          <w:sz w:val="28"/>
          <w:szCs w:val="28"/>
        </w:rPr>
      </w:pPr>
    </w:p>
    <w:p w14:paraId="114B95BC">
      <w:pPr>
        <w:widowControl/>
        <w:jc w:val="left"/>
        <w:rPr>
          <w:b/>
          <w:bCs/>
          <w:color w:val="000000"/>
          <w:kern w:val="0"/>
          <w:sz w:val="28"/>
          <w:szCs w:val="28"/>
        </w:rPr>
      </w:pPr>
    </w:p>
    <w:p w14:paraId="3AD26BC9">
      <w:pPr>
        <w:widowControl/>
        <w:jc w:val="left"/>
        <w:rPr>
          <w:b/>
          <w:bCs/>
          <w:color w:val="000000"/>
          <w:kern w:val="0"/>
          <w:sz w:val="28"/>
          <w:szCs w:val="28"/>
        </w:rPr>
      </w:pPr>
    </w:p>
    <w:p w14:paraId="6C83D257">
      <w:pPr>
        <w:widowControl/>
        <w:jc w:val="left"/>
        <w:rPr>
          <w:b/>
          <w:bCs/>
          <w:color w:val="000000"/>
          <w:kern w:val="0"/>
          <w:sz w:val="28"/>
          <w:szCs w:val="28"/>
        </w:rPr>
      </w:pPr>
    </w:p>
    <w:p w14:paraId="227BE01C">
      <w:pPr>
        <w:widowControl/>
        <w:jc w:val="left"/>
        <w:rPr>
          <w:b/>
          <w:bCs/>
          <w:color w:val="000000"/>
          <w:kern w:val="0"/>
          <w:sz w:val="28"/>
          <w:szCs w:val="28"/>
        </w:rPr>
      </w:pPr>
    </w:p>
    <w:p w14:paraId="1F40BB44">
      <w:pPr>
        <w:widowControl/>
        <w:jc w:val="left"/>
        <w:rPr>
          <w:b/>
          <w:bCs/>
          <w:color w:val="000000"/>
          <w:kern w:val="0"/>
          <w:sz w:val="28"/>
          <w:szCs w:val="28"/>
        </w:rPr>
      </w:pPr>
    </w:p>
    <w:p w14:paraId="10ACCD19">
      <w:pPr>
        <w:widowControl/>
        <w:jc w:val="left"/>
        <w:rPr>
          <w:b/>
          <w:bCs/>
          <w:color w:val="000000"/>
          <w:kern w:val="0"/>
          <w:sz w:val="28"/>
          <w:szCs w:val="28"/>
        </w:rPr>
      </w:pPr>
    </w:p>
    <w:p w14:paraId="67F85642">
      <w:pPr>
        <w:widowControl/>
        <w:jc w:val="left"/>
        <w:rPr>
          <w:b/>
          <w:color w:val="000000"/>
          <w:kern w:val="0"/>
        </w:rPr>
      </w:pPr>
    </w:p>
    <w:p w14:paraId="6FD4301D">
      <w:pPr>
        <w:widowControl/>
        <w:jc w:val="left"/>
        <w:rPr>
          <w:b/>
          <w:bCs/>
          <w:color w:val="000000"/>
          <w:kern w:val="0"/>
          <w:sz w:val="28"/>
          <w:szCs w:val="28"/>
        </w:rPr>
      </w:pPr>
      <w:r>
        <w:rPr>
          <w:b/>
          <w:bCs/>
          <w:color w:val="000000"/>
          <w:kern w:val="0"/>
          <w:sz w:val="28"/>
          <w:szCs w:val="28"/>
        </w:rPr>
        <w:t>附件三、分项报价表格式</w:t>
      </w:r>
      <w:r>
        <w:rPr>
          <w:rFonts w:hint="eastAsia"/>
          <w:b/>
          <w:bCs/>
          <w:color w:val="000000"/>
          <w:kern w:val="0"/>
          <w:sz w:val="28"/>
          <w:szCs w:val="28"/>
          <w:lang w:eastAsia="zh-CN"/>
        </w:rPr>
        <w:t>（</w:t>
      </w:r>
      <w:r>
        <w:rPr>
          <w:rFonts w:hint="eastAsia"/>
          <w:b/>
          <w:bCs/>
          <w:color w:val="000000"/>
          <w:kern w:val="0"/>
          <w:sz w:val="28"/>
          <w:szCs w:val="28"/>
          <w:lang w:val="en-US" w:eastAsia="zh-CN"/>
        </w:rPr>
        <w:t>根据项目需求自拟报价</w:t>
      </w:r>
      <w:r>
        <w:rPr>
          <w:rFonts w:hint="eastAsia"/>
          <w:b/>
          <w:bCs/>
          <w:color w:val="000000"/>
          <w:kern w:val="0"/>
          <w:sz w:val="28"/>
          <w:szCs w:val="28"/>
          <w:lang w:eastAsia="zh-CN"/>
        </w:rPr>
        <w:t>）</w:t>
      </w:r>
      <w:r>
        <w:rPr>
          <w:b/>
          <w:bCs/>
          <w:color w:val="000000"/>
          <w:kern w:val="0"/>
          <w:sz w:val="28"/>
          <w:szCs w:val="28"/>
        </w:rPr>
        <w:t xml:space="preserve"> </w:t>
      </w:r>
    </w:p>
    <w:p w14:paraId="70EAC38D">
      <w:pPr>
        <w:snapToGrid w:val="0"/>
        <w:spacing w:line="360" w:lineRule="auto"/>
        <w:jc w:val="center"/>
        <w:rPr>
          <w:b/>
          <w:bCs/>
          <w:sz w:val="24"/>
          <w:szCs w:val="24"/>
        </w:rPr>
      </w:pPr>
      <w:r>
        <w:rPr>
          <w:rFonts w:hint="eastAsia"/>
          <w:b/>
          <w:bCs/>
          <w:sz w:val="24"/>
          <w:szCs w:val="24"/>
        </w:rPr>
        <w:t>报价单</w:t>
      </w:r>
    </w:p>
    <w:tbl>
      <w:tblPr>
        <w:tblStyle w:val="21"/>
        <w:tblW w:w="9915" w:type="dxa"/>
        <w:tblInd w:w="-789" w:type="dxa"/>
        <w:tblLayout w:type="fixed"/>
        <w:tblCellMar>
          <w:top w:w="0" w:type="dxa"/>
          <w:left w:w="0" w:type="dxa"/>
          <w:bottom w:w="0" w:type="dxa"/>
          <w:right w:w="0" w:type="dxa"/>
        </w:tblCellMar>
      </w:tblPr>
      <w:tblGrid>
        <w:gridCol w:w="2118"/>
        <w:gridCol w:w="7797"/>
      </w:tblGrid>
      <w:tr w14:paraId="122C1301">
        <w:tblPrEx>
          <w:tblCellMar>
            <w:top w:w="0" w:type="dxa"/>
            <w:left w:w="0" w:type="dxa"/>
            <w:bottom w:w="0" w:type="dxa"/>
            <w:right w:w="0" w:type="dxa"/>
          </w:tblCellMar>
        </w:tblPrEx>
        <w:trPr>
          <w:trHeight w:val="1239" w:hRule="atLeast"/>
        </w:trPr>
        <w:tc>
          <w:tcPr>
            <w:tcW w:w="2118" w:type="dxa"/>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14:paraId="595C73A3">
            <w:pPr>
              <w:widowControl/>
              <w:jc w:val="center"/>
              <w:textAlignment w:val="center"/>
              <w:rPr>
                <w:rFonts w:eastAsia="微软雅黑"/>
                <w:sz w:val="22"/>
              </w:rPr>
            </w:pPr>
            <w:r>
              <w:rPr>
                <w:rFonts w:hAnsi="微软雅黑" w:eastAsia="微软雅黑"/>
                <w:kern w:val="0"/>
                <w:sz w:val="22"/>
                <w:szCs w:val="22"/>
              </w:rPr>
              <w:t>项目</w:t>
            </w:r>
          </w:p>
        </w:tc>
        <w:tc>
          <w:tcPr>
            <w:tcW w:w="7797"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14:paraId="4726202F">
            <w:pPr>
              <w:widowControl/>
              <w:jc w:val="center"/>
              <w:textAlignment w:val="center"/>
              <w:rPr>
                <w:rFonts w:hAnsi="微软雅黑" w:eastAsia="微软雅黑"/>
                <w:sz w:val="22"/>
                <w:szCs w:val="22"/>
              </w:rPr>
            </w:pPr>
            <w:r>
              <w:rPr>
                <w:rFonts w:hint="eastAsia" w:hAnsi="微软雅黑" w:eastAsia="微软雅黑"/>
                <w:sz w:val="22"/>
                <w:szCs w:val="22"/>
              </w:rPr>
              <w:t>总价（含税）</w:t>
            </w:r>
          </w:p>
        </w:tc>
      </w:tr>
      <w:tr w14:paraId="165EB116">
        <w:tblPrEx>
          <w:tblCellMar>
            <w:top w:w="0" w:type="dxa"/>
            <w:left w:w="0" w:type="dxa"/>
            <w:bottom w:w="0" w:type="dxa"/>
            <w:right w:w="0" w:type="dxa"/>
          </w:tblCellMar>
        </w:tblPrEx>
        <w:trPr>
          <w:trHeight w:val="2170" w:hRule="atLeast"/>
        </w:trPr>
        <w:tc>
          <w:tcPr>
            <w:tcW w:w="21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FAAE107">
            <w:pPr>
              <w:widowControl/>
              <w:jc w:val="center"/>
              <w:textAlignment w:val="center"/>
              <w:rPr>
                <w:rFonts w:eastAsia="微软雅黑"/>
                <w:sz w:val="22"/>
              </w:rPr>
            </w:pPr>
            <w:r>
              <w:rPr>
                <w:rFonts w:hint="eastAsia" w:hAnsi="微软雅黑" w:eastAsia="微软雅黑"/>
                <w:kern w:val="0"/>
                <w:sz w:val="22"/>
                <w:szCs w:val="22"/>
                <w:lang w:val="en-US" w:eastAsia="zh-CN"/>
              </w:rPr>
              <w:t xml:space="preserve"> </w:t>
            </w:r>
          </w:p>
          <w:p w14:paraId="05640111">
            <w:pPr>
              <w:pStyle w:val="43"/>
              <w:spacing w:line="360" w:lineRule="auto"/>
              <w:ind w:firstLine="0" w:firstLineChars="0"/>
              <w:rPr>
                <w:rFonts w:hint="eastAsia" w:ascii="Times New Roman" w:hAnsi="Times New Roman" w:eastAsia="微软雅黑"/>
                <w:kern w:val="0"/>
                <w:sz w:val="22"/>
                <w:lang w:eastAsia="zh-CN"/>
              </w:rPr>
            </w:pPr>
            <w:r>
              <w:rPr>
                <w:rFonts w:hint="eastAsia" w:ascii="Times New Roman" w:hAnsi="微软雅黑" w:eastAsia="微软雅黑"/>
                <w:kern w:val="0"/>
                <w:sz w:val="22"/>
                <w:lang w:val="en-US" w:eastAsia="zh-CN"/>
              </w:rPr>
              <w:t xml:space="preserve"> </w:t>
            </w:r>
          </w:p>
        </w:tc>
        <w:tc>
          <w:tcPr>
            <w:tcW w:w="7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5B96">
            <w:pPr>
              <w:jc w:val="center"/>
              <w:rPr>
                <w:rFonts w:eastAsia="微软雅黑"/>
                <w:sz w:val="22"/>
              </w:rPr>
            </w:pPr>
          </w:p>
        </w:tc>
      </w:tr>
      <w:tr w14:paraId="3336399F">
        <w:tblPrEx>
          <w:tblCellMar>
            <w:top w:w="0" w:type="dxa"/>
            <w:left w:w="0" w:type="dxa"/>
            <w:bottom w:w="0" w:type="dxa"/>
            <w:right w:w="0" w:type="dxa"/>
          </w:tblCellMar>
        </w:tblPrEx>
        <w:trPr>
          <w:trHeight w:val="2170" w:hRule="atLeast"/>
        </w:trPr>
        <w:tc>
          <w:tcPr>
            <w:tcW w:w="21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B84565A">
            <w:pPr>
              <w:pStyle w:val="5"/>
              <w:spacing w:line="440" w:lineRule="exact"/>
              <w:ind w:firstLine="0"/>
              <w:jc w:val="center"/>
              <w:rPr>
                <w:rFonts w:ascii="宋体" w:hAnsi="宋体" w:cs="宋体"/>
                <w:szCs w:val="21"/>
              </w:rPr>
            </w:pPr>
            <w:r>
              <w:rPr>
                <w:rFonts w:hint="eastAsia" w:ascii="宋体" w:hAnsi="宋体" w:cs="宋体"/>
                <w:szCs w:val="21"/>
              </w:rPr>
              <w:t>投标人是否属于</w:t>
            </w:r>
          </w:p>
          <w:p w14:paraId="19CF0906">
            <w:pPr>
              <w:widowControl/>
              <w:jc w:val="center"/>
              <w:textAlignment w:val="center"/>
              <w:rPr>
                <w:rFonts w:hAnsi="微软雅黑" w:eastAsia="微软雅黑"/>
                <w:kern w:val="0"/>
                <w:sz w:val="22"/>
                <w:szCs w:val="22"/>
              </w:rPr>
            </w:pPr>
            <w:r>
              <w:rPr>
                <w:rFonts w:hint="eastAsia" w:ascii="宋体" w:hAnsi="宋体" w:cs="宋体"/>
                <w:szCs w:val="21"/>
              </w:rPr>
              <w:t>小微型企业</w:t>
            </w:r>
          </w:p>
        </w:tc>
        <w:tc>
          <w:tcPr>
            <w:tcW w:w="7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7A89">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14:paraId="2D286467">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2721ED27">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25784A35">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217C7B3A">
      <w:pPr>
        <w:widowControl/>
        <w:shd w:val="clear" w:color="auto" w:fill="FFFFFF"/>
        <w:spacing w:line="360" w:lineRule="auto"/>
        <w:jc w:val="left"/>
        <w:rPr>
          <w:rFonts w:ascii="宋体" w:hAnsi="宋体" w:cs="宋体"/>
          <w:kern w:val="0"/>
          <w:szCs w:val="21"/>
        </w:rPr>
      </w:pPr>
    </w:p>
    <w:p w14:paraId="7ABB228E">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14:paraId="03904F23">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14:paraId="155B88C9">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14:paraId="12244D73">
      <w:pPr>
        <w:tabs>
          <w:tab w:val="left" w:pos="1440"/>
        </w:tabs>
        <w:autoSpaceDE w:val="0"/>
        <w:autoSpaceDN w:val="0"/>
        <w:adjustRightInd w:val="0"/>
        <w:spacing w:line="360" w:lineRule="auto"/>
        <w:ind w:firstLine="420"/>
        <w:rPr>
          <w:rFonts w:ascii="宋体" w:hAnsi="宋体" w:cs="宋体"/>
          <w:b/>
          <w:bCs/>
          <w:kern w:val="0"/>
          <w:szCs w:val="21"/>
          <w:lang w:val="zh-CN"/>
        </w:rPr>
      </w:pPr>
    </w:p>
    <w:p w14:paraId="3DB635A6">
      <w:pPr>
        <w:tabs>
          <w:tab w:val="left" w:pos="1440"/>
        </w:tabs>
        <w:autoSpaceDE w:val="0"/>
        <w:autoSpaceDN w:val="0"/>
        <w:adjustRightInd w:val="0"/>
        <w:spacing w:line="360" w:lineRule="auto"/>
        <w:ind w:firstLine="420"/>
        <w:rPr>
          <w:rFonts w:ascii="宋体" w:hAnsi="宋体" w:cs="宋体"/>
          <w:b/>
          <w:bCs/>
          <w:kern w:val="0"/>
          <w:szCs w:val="21"/>
          <w:lang w:val="zh-CN"/>
        </w:rPr>
      </w:pPr>
    </w:p>
    <w:p w14:paraId="392547B2">
      <w:pPr>
        <w:tabs>
          <w:tab w:val="left" w:pos="1440"/>
        </w:tabs>
        <w:autoSpaceDE w:val="0"/>
        <w:autoSpaceDN w:val="0"/>
        <w:adjustRightInd w:val="0"/>
        <w:spacing w:line="360" w:lineRule="auto"/>
        <w:ind w:firstLine="420"/>
        <w:rPr>
          <w:rFonts w:ascii="宋体" w:hAnsi="宋体" w:cs="宋体"/>
          <w:b/>
          <w:bCs/>
          <w:kern w:val="0"/>
          <w:szCs w:val="21"/>
          <w:lang w:val="zh-CN"/>
        </w:rPr>
      </w:pPr>
    </w:p>
    <w:p w14:paraId="6A7D6063">
      <w:pPr>
        <w:tabs>
          <w:tab w:val="left" w:pos="1440"/>
        </w:tabs>
        <w:autoSpaceDE w:val="0"/>
        <w:autoSpaceDN w:val="0"/>
        <w:adjustRightInd w:val="0"/>
        <w:spacing w:line="360" w:lineRule="auto"/>
        <w:ind w:firstLine="420"/>
        <w:rPr>
          <w:rFonts w:ascii="宋体" w:hAnsi="宋体" w:cs="宋体"/>
          <w:b/>
          <w:bCs/>
          <w:kern w:val="0"/>
          <w:szCs w:val="21"/>
          <w:lang w:val="zh-CN"/>
        </w:rPr>
      </w:pPr>
    </w:p>
    <w:p w14:paraId="515DECF1">
      <w:pPr>
        <w:widowControl/>
        <w:jc w:val="left"/>
        <w:rPr>
          <w:b/>
          <w:color w:val="000000"/>
          <w:kern w:val="0"/>
        </w:rPr>
      </w:pPr>
    </w:p>
    <w:p w14:paraId="586868F5">
      <w:pPr>
        <w:widowControl/>
        <w:jc w:val="left"/>
        <w:rPr>
          <w:b/>
          <w:color w:val="000000"/>
          <w:kern w:val="0"/>
        </w:rPr>
      </w:pPr>
    </w:p>
    <w:p w14:paraId="27F5927B">
      <w:pPr>
        <w:widowControl/>
        <w:jc w:val="left"/>
        <w:rPr>
          <w:b/>
          <w:color w:val="000000"/>
          <w:kern w:val="0"/>
        </w:rPr>
      </w:pPr>
    </w:p>
    <w:p w14:paraId="7C6A8DD5">
      <w:pPr>
        <w:widowControl/>
        <w:jc w:val="left"/>
        <w:rPr>
          <w:b/>
          <w:color w:val="000000"/>
          <w:kern w:val="0"/>
        </w:rPr>
      </w:pPr>
    </w:p>
    <w:p w14:paraId="5D93D085">
      <w:pPr>
        <w:widowControl/>
        <w:jc w:val="left"/>
        <w:rPr>
          <w:b/>
          <w:color w:val="000000"/>
          <w:kern w:val="0"/>
        </w:rPr>
      </w:pPr>
    </w:p>
    <w:p w14:paraId="54C2538F">
      <w:pPr>
        <w:widowControl/>
        <w:jc w:val="left"/>
        <w:rPr>
          <w:b/>
          <w:color w:val="000000"/>
          <w:kern w:val="0"/>
        </w:rPr>
      </w:pPr>
    </w:p>
    <w:p w14:paraId="6CA1BAA1">
      <w:pPr>
        <w:pStyle w:val="9"/>
        <w:ind w:left="0" w:leftChars="0" w:firstLine="0" w:firstLineChars="0"/>
      </w:pPr>
      <w:bookmarkStart w:id="34" w:name="_GoBack"/>
      <w:bookmarkEnd w:id="34"/>
    </w:p>
    <w:p w14:paraId="25936AD7">
      <w:pPr>
        <w:widowControl/>
        <w:jc w:val="left"/>
        <w:rPr>
          <w:b/>
          <w:bCs/>
          <w:color w:val="000000"/>
          <w:kern w:val="0"/>
          <w:sz w:val="28"/>
          <w:szCs w:val="28"/>
        </w:rPr>
      </w:pPr>
      <w:r>
        <w:rPr>
          <w:b/>
          <w:bCs/>
          <w:color w:val="000000"/>
          <w:kern w:val="0"/>
          <w:sz w:val="28"/>
          <w:szCs w:val="28"/>
        </w:rPr>
        <w:t xml:space="preserve">附件四、商务条款偏离表格式 </w:t>
      </w:r>
    </w:p>
    <w:p w14:paraId="103A0E28">
      <w:pPr>
        <w:widowControl/>
        <w:jc w:val="center"/>
        <w:rPr>
          <w:b/>
          <w:bCs/>
          <w:color w:val="000000"/>
          <w:kern w:val="0"/>
          <w:sz w:val="28"/>
          <w:szCs w:val="28"/>
        </w:rPr>
      </w:pPr>
    </w:p>
    <w:p w14:paraId="6CC812CF">
      <w:pPr>
        <w:widowControl/>
        <w:jc w:val="center"/>
        <w:rPr>
          <w:b/>
          <w:bCs/>
          <w:color w:val="000000"/>
          <w:kern w:val="0"/>
          <w:sz w:val="28"/>
          <w:szCs w:val="28"/>
        </w:rPr>
      </w:pPr>
      <w:r>
        <w:rPr>
          <w:b/>
          <w:bCs/>
          <w:color w:val="000000"/>
          <w:kern w:val="0"/>
          <w:sz w:val="28"/>
          <w:szCs w:val="28"/>
        </w:rPr>
        <w:t>商务条款偏离表</w:t>
      </w:r>
    </w:p>
    <w:p w14:paraId="3F5596B1">
      <w:pPr>
        <w:widowControl/>
        <w:jc w:val="left"/>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62B2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621D75B">
            <w:pPr>
              <w:widowControl/>
              <w:jc w:val="left"/>
              <w:rPr>
                <w:color w:val="000000"/>
                <w:kern w:val="0"/>
              </w:rPr>
            </w:pPr>
            <w:r>
              <w:rPr>
                <w:color w:val="000000"/>
                <w:kern w:val="0"/>
              </w:rPr>
              <w:t>序号</w:t>
            </w:r>
          </w:p>
        </w:tc>
        <w:tc>
          <w:tcPr>
            <w:tcW w:w="1420" w:type="dxa"/>
          </w:tcPr>
          <w:p w14:paraId="78903AE1">
            <w:pPr>
              <w:widowControl/>
              <w:jc w:val="left"/>
              <w:rPr>
                <w:color w:val="000000"/>
                <w:kern w:val="0"/>
              </w:rPr>
            </w:pPr>
            <w:r>
              <w:rPr>
                <w:color w:val="000000"/>
                <w:kern w:val="0"/>
              </w:rPr>
              <w:t>磋商要求</w:t>
            </w:r>
          </w:p>
        </w:tc>
        <w:tc>
          <w:tcPr>
            <w:tcW w:w="3597" w:type="dxa"/>
          </w:tcPr>
          <w:p w14:paraId="24B9B8A4">
            <w:pPr>
              <w:widowControl/>
              <w:jc w:val="left"/>
            </w:pPr>
            <w:r>
              <w:rPr>
                <w:color w:val="000000"/>
                <w:kern w:val="0"/>
              </w:rPr>
              <w:t>供应商响应技术条款描述</w:t>
            </w:r>
          </w:p>
          <w:p w14:paraId="70CC0A2A">
            <w:pPr>
              <w:widowControl/>
              <w:jc w:val="left"/>
              <w:rPr>
                <w:color w:val="000000"/>
                <w:kern w:val="0"/>
              </w:rPr>
            </w:pPr>
          </w:p>
        </w:tc>
        <w:tc>
          <w:tcPr>
            <w:tcW w:w="1995" w:type="dxa"/>
          </w:tcPr>
          <w:p w14:paraId="079A4BA3">
            <w:pPr>
              <w:widowControl/>
              <w:jc w:val="left"/>
              <w:rPr>
                <w:color w:val="000000"/>
                <w:kern w:val="0"/>
              </w:rPr>
            </w:pPr>
            <w:r>
              <w:rPr>
                <w:color w:val="000000"/>
                <w:kern w:val="0"/>
              </w:rPr>
              <w:t>投标响应情况</w:t>
            </w:r>
          </w:p>
        </w:tc>
      </w:tr>
      <w:tr w14:paraId="5933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8DF0A57">
            <w:pPr>
              <w:widowControl/>
              <w:jc w:val="left"/>
              <w:rPr>
                <w:color w:val="000000"/>
                <w:kern w:val="0"/>
              </w:rPr>
            </w:pPr>
          </w:p>
        </w:tc>
        <w:tc>
          <w:tcPr>
            <w:tcW w:w="1420" w:type="dxa"/>
          </w:tcPr>
          <w:p w14:paraId="436A5ABB">
            <w:pPr>
              <w:widowControl/>
              <w:jc w:val="left"/>
              <w:rPr>
                <w:color w:val="000000"/>
                <w:kern w:val="0"/>
              </w:rPr>
            </w:pPr>
          </w:p>
        </w:tc>
        <w:tc>
          <w:tcPr>
            <w:tcW w:w="3597" w:type="dxa"/>
          </w:tcPr>
          <w:p w14:paraId="237DEAC4">
            <w:pPr>
              <w:widowControl/>
              <w:jc w:val="left"/>
              <w:rPr>
                <w:color w:val="000000"/>
                <w:kern w:val="0"/>
              </w:rPr>
            </w:pPr>
          </w:p>
        </w:tc>
        <w:tc>
          <w:tcPr>
            <w:tcW w:w="1995" w:type="dxa"/>
          </w:tcPr>
          <w:p w14:paraId="0890B339">
            <w:pPr>
              <w:widowControl/>
              <w:jc w:val="left"/>
              <w:rPr>
                <w:color w:val="000000"/>
                <w:kern w:val="0"/>
              </w:rPr>
            </w:pPr>
          </w:p>
        </w:tc>
      </w:tr>
      <w:tr w14:paraId="5B7D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FC142E2">
            <w:pPr>
              <w:widowControl/>
              <w:jc w:val="left"/>
              <w:rPr>
                <w:color w:val="000000"/>
                <w:kern w:val="0"/>
              </w:rPr>
            </w:pPr>
          </w:p>
        </w:tc>
        <w:tc>
          <w:tcPr>
            <w:tcW w:w="1420" w:type="dxa"/>
          </w:tcPr>
          <w:p w14:paraId="6ABBB199">
            <w:pPr>
              <w:widowControl/>
              <w:jc w:val="left"/>
              <w:rPr>
                <w:color w:val="000000"/>
                <w:kern w:val="0"/>
              </w:rPr>
            </w:pPr>
          </w:p>
        </w:tc>
        <w:tc>
          <w:tcPr>
            <w:tcW w:w="3597" w:type="dxa"/>
          </w:tcPr>
          <w:p w14:paraId="58F88C9A">
            <w:pPr>
              <w:widowControl/>
              <w:jc w:val="left"/>
              <w:rPr>
                <w:color w:val="000000"/>
                <w:kern w:val="0"/>
              </w:rPr>
            </w:pPr>
          </w:p>
        </w:tc>
        <w:tc>
          <w:tcPr>
            <w:tcW w:w="1995" w:type="dxa"/>
          </w:tcPr>
          <w:p w14:paraId="7F6DECF6">
            <w:pPr>
              <w:widowControl/>
              <w:jc w:val="left"/>
              <w:rPr>
                <w:color w:val="000000"/>
                <w:kern w:val="0"/>
              </w:rPr>
            </w:pPr>
          </w:p>
        </w:tc>
      </w:tr>
      <w:tr w14:paraId="2379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E9A7C28">
            <w:pPr>
              <w:widowControl/>
              <w:jc w:val="left"/>
              <w:rPr>
                <w:color w:val="000000"/>
                <w:kern w:val="0"/>
              </w:rPr>
            </w:pPr>
          </w:p>
        </w:tc>
        <w:tc>
          <w:tcPr>
            <w:tcW w:w="1420" w:type="dxa"/>
          </w:tcPr>
          <w:p w14:paraId="1059C6DB">
            <w:pPr>
              <w:widowControl/>
              <w:jc w:val="left"/>
              <w:rPr>
                <w:color w:val="000000"/>
                <w:kern w:val="0"/>
              </w:rPr>
            </w:pPr>
          </w:p>
        </w:tc>
        <w:tc>
          <w:tcPr>
            <w:tcW w:w="3597" w:type="dxa"/>
          </w:tcPr>
          <w:p w14:paraId="0BFD08BA">
            <w:pPr>
              <w:widowControl/>
              <w:jc w:val="left"/>
              <w:rPr>
                <w:color w:val="000000"/>
                <w:kern w:val="0"/>
              </w:rPr>
            </w:pPr>
          </w:p>
        </w:tc>
        <w:tc>
          <w:tcPr>
            <w:tcW w:w="1995" w:type="dxa"/>
          </w:tcPr>
          <w:p w14:paraId="21A61780">
            <w:pPr>
              <w:widowControl/>
              <w:jc w:val="left"/>
              <w:rPr>
                <w:color w:val="000000"/>
                <w:kern w:val="0"/>
              </w:rPr>
            </w:pPr>
          </w:p>
        </w:tc>
      </w:tr>
      <w:tr w14:paraId="55E0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7E46AD8">
            <w:pPr>
              <w:widowControl/>
              <w:jc w:val="left"/>
              <w:rPr>
                <w:color w:val="000000"/>
                <w:kern w:val="0"/>
              </w:rPr>
            </w:pPr>
          </w:p>
        </w:tc>
        <w:tc>
          <w:tcPr>
            <w:tcW w:w="1420" w:type="dxa"/>
          </w:tcPr>
          <w:p w14:paraId="089A275C">
            <w:pPr>
              <w:widowControl/>
              <w:jc w:val="left"/>
              <w:rPr>
                <w:color w:val="000000"/>
                <w:kern w:val="0"/>
              </w:rPr>
            </w:pPr>
          </w:p>
        </w:tc>
        <w:tc>
          <w:tcPr>
            <w:tcW w:w="3597" w:type="dxa"/>
          </w:tcPr>
          <w:p w14:paraId="4B8668C1">
            <w:pPr>
              <w:widowControl/>
              <w:jc w:val="left"/>
              <w:rPr>
                <w:color w:val="000000"/>
                <w:kern w:val="0"/>
              </w:rPr>
            </w:pPr>
          </w:p>
        </w:tc>
        <w:tc>
          <w:tcPr>
            <w:tcW w:w="1995" w:type="dxa"/>
          </w:tcPr>
          <w:p w14:paraId="09D0733C">
            <w:pPr>
              <w:widowControl/>
              <w:jc w:val="left"/>
              <w:rPr>
                <w:color w:val="000000"/>
                <w:kern w:val="0"/>
              </w:rPr>
            </w:pPr>
          </w:p>
        </w:tc>
      </w:tr>
    </w:tbl>
    <w:p w14:paraId="2D74C538">
      <w:pPr>
        <w:widowControl/>
        <w:jc w:val="left"/>
      </w:pPr>
    </w:p>
    <w:p w14:paraId="0BEB0431">
      <w:pPr>
        <w:widowControl/>
        <w:jc w:val="left"/>
      </w:pPr>
      <w:r>
        <w:rPr>
          <w:color w:val="000000"/>
          <w:kern w:val="0"/>
        </w:rPr>
        <w:t xml:space="preserve">说明：如果行数不够，请自行增加。 </w:t>
      </w:r>
    </w:p>
    <w:p w14:paraId="7EC6B0D9">
      <w:pPr>
        <w:widowControl/>
        <w:ind w:firstLine="5670" w:firstLineChars="2700"/>
        <w:jc w:val="left"/>
      </w:pPr>
      <w:r>
        <w:rPr>
          <w:color w:val="000000"/>
          <w:kern w:val="0"/>
        </w:rPr>
        <w:t>供应商名称： （盖章）</w:t>
      </w:r>
    </w:p>
    <w:p w14:paraId="17D472B9">
      <w:pPr>
        <w:widowControl/>
        <w:jc w:val="left"/>
        <w:rPr>
          <w:b/>
          <w:color w:val="000000"/>
          <w:kern w:val="0"/>
        </w:rPr>
      </w:pPr>
    </w:p>
    <w:p w14:paraId="42159878">
      <w:pPr>
        <w:widowControl/>
        <w:jc w:val="left"/>
        <w:rPr>
          <w:b/>
          <w:color w:val="000000"/>
          <w:kern w:val="0"/>
        </w:rPr>
      </w:pPr>
    </w:p>
    <w:p w14:paraId="6BD96B8A">
      <w:pPr>
        <w:pStyle w:val="27"/>
        <w:ind w:firstLine="422"/>
        <w:rPr>
          <w:rFonts w:ascii="Times New Roman" w:hAnsi="Times New Roman"/>
          <w:b/>
          <w:color w:val="000000"/>
          <w:kern w:val="0"/>
          <w:szCs w:val="21"/>
          <w:lang w:val="en-US"/>
        </w:rPr>
      </w:pPr>
    </w:p>
    <w:p w14:paraId="1C1C55A8">
      <w:pPr>
        <w:pStyle w:val="27"/>
        <w:ind w:firstLine="422"/>
        <w:rPr>
          <w:rFonts w:ascii="Times New Roman" w:hAnsi="Times New Roman"/>
          <w:b/>
          <w:color w:val="000000"/>
          <w:kern w:val="0"/>
          <w:szCs w:val="21"/>
          <w:lang w:val="en-US"/>
        </w:rPr>
      </w:pPr>
    </w:p>
    <w:p w14:paraId="1397A864">
      <w:pPr>
        <w:pStyle w:val="27"/>
        <w:ind w:firstLine="422"/>
        <w:rPr>
          <w:rFonts w:ascii="Times New Roman" w:hAnsi="Times New Roman"/>
          <w:b/>
          <w:color w:val="000000"/>
          <w:kern w:val="0"/>
          <w:szCs w:val="21"/>
          <w:lang w:val="en-US"/>
        </w:rPr>
      </w:pPr>
    </w:p>
    <w:p w14:paraId="5B22D4EE">
      <w:pPr>
        <w:pStyle w:val="27"/>
        <w:ind w:firstLine="422"/>
        <w:rPr>
          <w:rFonts w:ascii="Times New Roman" w:hAnsi="Times New Roman"/>
          <w:b/>
          <w:color w:val="000000"/>
          <w:kern w:val="0"/>
          <w:szCs w:val="21"/>
          <w:lang w:val="en-US"/>
        </w:rPr>
      </w:pPr>
    </w:p>
    <w:p w14:paraId="423FBE9C">
      <w:pPr>
        <w:pStyle w:val="27"/>
        <w:ind w:firstLine="422"/>
        <w:rPr>
          <w:rFonts w:ascii="Times New Roman" w:hAnsi="Times New Roman"/>
          <w:b/>
          <w:color w:val="000000"/>
          <w:kern w:val="0"/>
          <w:szCs w:val="21"/>
          <w:lang w:val="en-US"/>
        </w:rPr>
      </w:pPr>
    </w:p>
    <w:p w14:paraId="51F0C54D">
      <w:pPr>
        <w:pStyle w:val="27"/>
        <w:ind w:firstLine="422"/>
        <w:rPr>
          <w:rFonts w:ascii="Times New Roman" w:hAnsi="Times New Roman"/>
          <w:b/>
          <w:color w:val="000000"/>
          <w:kern w:val="0"/>
          <w:szCs w:val="21"/>
          <w:lang w:val="en-US"/>
        </w:rPr>
      </w:pPr>
    </w:p>
    <w:p w14:paraId="615C6842">
      <w:pPr>
        <w:pStyle w:val="27"/>
        <w:ind w:firstLine="422"/>
        <w:rPr>
          <w:rFonts w:ascii="Times New Roman" w:hAnsi="Times New Roman"/>
          <w:b/>
          <w:color w:val="000000"/>
          <w:kern w:val="0"/>
          <w:szCs w:val="21"/>
          <w:lang w:val="en-US"/>
        </w:rPr>
      </w:pPr>
    </w:p>
    <w:p w14:paraId="4F945101">
      <w:pPr>
        <w:pStyle w:val="27"/>
        <w:ind w:firstLine="422"/>
        <w:rPr>
          <w:rFonts w:ascii="Times New Roman" w:hAnsi="Times New Roman"/>
          <w:b/>
          <w:color w:val="000000"/>
          <w:kern w:val="0"/>
          <w:szCs w:val="21"/>
          <w:lang w:val="en-US"/>
        </w:rPr>
      </w:pPr>
    </w:p>
    <w:p w14:paraId="76F09424">
      <w:pPr>
        <w:pStyle w:val="27"/>
        <w:ind w:firstLine="422"/>
        <w:rPr>
          <w:rFonts w:ascii="Times New Roman" w:hAnsi="Times New Roman"/>
          <w:b/>
          <w:color w:val="000000"/>
          <w:kern w:val="0"/>
          <w:szCs w:val="21"/>
          <w:lang w:val="en-US"/>
        </w:rPr>
      </w:pPr>
    </w:p>
    <w:p w14:paraId="2D803B68">
      <w:pPr>
        <w:pStyle w:val="27"/>
        <w:ind w:firstLine="422"/>
        <w:rPr>
          <w:rFonts w:ascii="Times New Roman" w:hAnsi="Times New Roman"/>
          <w:b/>
          <w:color w:val="000000"/>
          <w:kern w:val="0"/>
          <w:szCs w:val="21"/>
          <w:lang w:val="en-US"/>
        </w:rPr>
      </w:pPr>
    </w:p>
    <w:p w14:paraId="27CB1425">
      <w:pPr>
        <w:pStyle w:val="27"/>
        <w:ind w:firstLine="422"/>
        <w:rPr>
          <w:rFonts w:ascii="Times New Roman" w:hAnsi="Times New Roman"/>
          <w:b/>
          <w:color w:val="000000"/>
          <w:kern w:val="0"/>
          <w:szCs w:val="21"/>
          <w:lang w:val="en-US"/>
        </w:rPr>
      </w:pPr>
    </w:p>
    <w:p w14:paraId="6FB81E24">
      <w:pPr>
        <w:pStyle w:val="27"/>
        <w:ind w:firstLine="422"/>
        <w:rPr>
          <w:rFonts w:ascii="Times New Roman" w:hAnsi="Times New Roman"/>
          <w:b/>
          <w:color w:val="000000"/>
          <w:kern w:val="0"/>
          <w:szCs w:val="21"/>
          <w:lang w:val="en-US"/>
        </w:rPr>
      </w:pPr>
    </w:p>
    <w:p w14:paraId="3E05F01E">
      <w:pPr>
        <w:pStyle w:val="27"/>
        <w:ind w:firstLine="422"/>
        <w:rPr>
          <w:rFonts w:ascii="Times New Roman" w:hAnsi="Times New Roman"/>
          <w:b/>
          <w:color w:val="000000"/>
          <w:kern w:val="0"/>
          <w:szCs w:val="21"/>
          <w:lang w:val="en-US"/>
        </w:rPr>
      </w:pPr>
    </w:p>
    <w:p w14:paraId="005A9233">
      <w:pPr>
        <w:pStyle w:val="27"/>
        <w:ind w:firstLine="422"/>
        <w:rPr>
          <w:rFonts w:ascii="Times New Roman" w:hAnsi="Times New Roman"/>
          <w:b/>
          <w:color w:val="000000"/>
          <w:kern w:val="0"/>
          <w:szCs w:val="21"/>
          <w:lang w:val="en-US"/>
        </w:rPr>
      </w:pPr>
    </w:p>
    <w:p w14:paraId="5088DD06">
      <w:pPr>
        <w:pStyle w:val="27"/>
        <w:ind w:firstLine="422"/>
        <w:rPr>
          <w:rFonts w:ascii="Times New Roman" w:hAnsi="Times New Roman"/>
          <w:b/>
          <w:color w:val="000000"/>
          <w:kern w:val="0"/>
          <w:szCs w:val="21"/>
          <w:lang w:val="en-US"/>
        </w:rPr>
      </w:pPr>
    </w:p>
    <w:p w14:paraId="21133DCF">
      <w:pPr>
        <w:pStyle w:val="27"/>
        <w:ind w:firstLine="422"/>
        <w:rPr>
          <w:rFonts w:ascii="Times New Roman" w:hAnsi="Times New Roman"/>
          <w:b/>
          <w:color w:val="000000"/>
          <w:kern w:val="0"/>
          <w:szCs w:val="21"/>
          <w:lang w:val="en-US"/>
        </w:rPr>
      </w:pPr>
    </w:p>
    <w:p w14:paraId="59E9A879">
      <w:pPr>
        <w:pStyle w:val="27"/>
        <w:ind w:firstLine="422"/>
        <w:rPr>
          <w:rFonts w:ascii="Times New Roman" w:hAnsi="Times New Roman"/>
          <w:b/>
          <w:color w:val="000000"/>
          <w:kern w:val="0"/>
          <w:szCs w:val="21"/>
          <w:lang w:val="en-US"/>
        </w:rPr>
      </w:pPr>
    </w:p>
    <w:p w14:paraId="7498EF49">
      <w:pPr>
        <w:pStyle w:val="27"/>
        <w:ind w:firstLine="422"/>
        <w:rPr>
          <w:rFonts w:ascii="Times New Roman" w:hAnsi="Times New Roman"/>
          <w:b/>
          <w:color w:val="000000"/>
          <w:kern w:val="0"/>
          <w:szCs w:val="21"/>
          <w:lang w:val="en-US"/>
        </w:rPr>
      </w:pPr>
    </w:p>
    <w:p w14:paraId="421878A0">
      <w:pPr>
        <w:pStyle w:val="27"/>
        <w:ind w:firstLine="422"/>
        <w:rPr>
          <w:rFonts w:ascii="Times New Roman" w:hAnsi="Times New Roman"/>
          <w:b/>
          <w:color w:val="000000"/>
          <w:kern w:val="0"/>
          <w:szCs w:val="21"/>
          <w:lang w:val="en-US"/>
        </w:rPr>
      </w:pPr>
    </w:p>
    <w:p w14:paraId="58C72018">
      <w:pPr>
        <w:pStyle w:val="27"/>
        <w:ind w:firstLine="422"/>
        <w:rPr>
          <w:rFonts w:ascii="Times New Roman" w:hAnsi="Times New Roman"/>
          <w:b/>
          <w:color w:val="000000"/>
          <w:kern w:val="0"/>
          <w:szCs w:val="21"/>
          <w:lang w:val="en-US"/>
        </w:rPr>
      </w:pPr>
    </w:p>
    <w:p w14:paraId="7D1A6BAB">
      <w:pPr>
        <w:pStyle w:val="27"/>
        <w:ind w:firstLine="422"/>
        <w:rPr>
          <w:rFonts w:ascii="Times New Roman" w:hAnsi="Times New Roman"/>
          <w:b/>
          <w:color w:val="000000"/>
          <w:kern w:val="0"/>
          <w:szCs w:val="21"/>
          <w:lang w:val="en-US"/>
        </w:rPr>
      </w:pPr>
    </w:p>
    <w:p w14:paraId="51B25168">
      <w:pPr>
        <w:pStyle w:val="27"/>
        <w:ind w:firstLine="422"/>
        <w:rPr>
          <w:rFonts w:ascii="Times New Roman" w:hAnsi="Times New Roman"/>
          <w:b/>
          <w:color w:val="000000"/>
          <w:kern w:val="0"/>
          <w:szCs w:val="21"/>
          <w:lang w:val="en-US"/>
        </w:rPr>
      </w:pPr>
    </w:p>
    <w:p w14:paraId="19AC22F6">
      <w:pPr>
        <w:pStyle w:val="27"/>
        <w:ind w:firstLine="422"/>
        <w:rPr>
          <w:rFonts w:ascii="Times New Roman" w:hAnsi="Times New Roman"/>
          <w:b/>
          <w:color w:val="000000"/>
          <w:kern w:val="0"/>
          <w:szCs w:val="21"/>
          <w:lang w:val="en-US"/>
        </w:rPr>
      </w:pPr>
    </w:p>
    <w:p w14:paraId="41ECCA22">
      <w:pPr>
        <w:pStyle w:val="27"/>
        <w:ind w:firstLine="422"/>
        <w:rPr>
          <w:rFonts w:ascii="Times New Roman" w:hAnsi="Times New Roman"/>
          <w:b/>
          <w:color w:val="000000"/>
          <w:kern w:val="0"/>
          <w:szCs w:val="21"/>
          <w:lang w:val="en-US"/>
        </w:rPr>
      </w:pPr>
    </w:p>
    <w:p w14:paraId="06A06EB9">
      <w:pPr>
        <w:pStyle w:val="27"/>
        <w:ind w:firstLine="422"/>
        <w:rPr>
          <w:rFonts w:ascii="Times New Roman" w:hAnsi="Times New Roman"/>
          <w:b/>
          <w:color w:val="000000"/>
          <w:kern w:val="0"/>
          <w:szCs w:val="21"/>
          <w:lang w:val="en-US"/>
        </w:rPr>
      </w:pPr>
    </w:p>
    <w:p w14:paraId="56602014">
      <w:pPr>
        <w:widowControl/>
        <w:jc w:val="left"/>
      </w:pPr>
      <w:r>
        <w:rPr>
          <w:b/>
          <w:bCs/>
          <w:color w:val="000000"/>
          <w:kern w:val="0"/>
          <w:sz w:val="28"/>
          <w:szCs w:val="28"/>
        </w:rPr>
        <w:t xml:space="preserve">附件五、实施方案（自拟） </w:t>
      </w:r>
    </w:p>
    <w:p w14:paraId="38D646B2">
      <w:pPr>
        <w:widowControl/>
        <w:spacing w:line="360" w:lineRule="auto"/>
        <w:ind w:firstLine="420" w:firstLineChars="200"/>
        <w:jc w:val="left"/>
        <w:rPr>
          <w:color w:val="000000"/>
          <w:kern w:val="0"/>
        </w:rPr>
      </w:pPr>
      <w:r>
        <w:rPr>
          <w:color w:val="000000"/>
          <w:kern w:val="0"/>
        </w:rPr>
        <w:t xml:space="preserve">供应商应针对本服务采购需求特点，自行编制包含但不限于以下内容的实施方案： </w:t>
      </w:r>
    </w:p>
    <w:p w14:paraId="71FF9C4B">
      <w:pPr>
        <w:widowControl/>
        <w:spacing w:line="360" w:lineRule="auto"/>
        <w:ind w:firstLine="420" w:firstLineChars="200"/>
        <w:jc w:val="left"/>
        <w:rPr>
          <w:color w:val="000000"/>
          <w:kern w:val="0"/>
        </w:rPr>
      </w:pPr>
      <w:r>
        <w:rPr>
          <w:color w:val="000000"/>
          <w:kern w:val="0"/>
        </w:rPr>
        <w:t xml:space="preserve">实施的总体方案、技术服务实施方案、质量保障方案、进度计划安排、验收方案、 采购需求章节中要求的具体实施方案、服务承诺及供应商认为需要提供的其它方案。 </w:t>
      </w:r>
    </w:p>
    <w:p w14:paraId="4ABC6F2A">
      <w:pPr>
        <w:widowControl/>
        <w:spacing w:line="360" w:lineRule="auto"/>
        <w:ind w:firstLine="420" w:firstLineChars="200"/>
        <w:jc w:val="left"/>
        <w:rPr>
          <w:color w:val="000000"/>
          <w:kern w:val="0"/>
        </w:rPr>
      </w:pPr>
    </w:p>
    <w:p w14:paraId="3184F27B">
      <w:pPr>
        <w:widowControl/>
        <w:spacing w:line="360" w:lineRule="auto"/>
        <w:ind w:firstLine="420" w:firstLineChars="200"/>
        <w:jc w:val="left"/>
        <w:rPr>
          <w:color w:val="000000"/>
          <w:kern w:val="0"/>
        </w:rPr>
      </w:pPr>
    </w:p>
    <w:p w14:paraId="7935D09C">
      <w:pPr>
        <w:widowControl/>
        <w:spacing w:line="360" w:lineRule="auto"/>
        <w:ind w:firstLine="420" w:firstLineChars="200"/>
        <w:jc w:val="left"/>
        <w:rPr>
          <w:color w:val="000000"/>
          <w:kern w:val="0"/>
        </w:rPr>
      </w:pPr>
    </w:p>
    <w:p w14:paraId="2796D7AD">
      <w:pPr>
        <w:widowControl/>
        <w:spacing w:line="360" w:lineRule="auto"/>
        <w:ind w:firstLine="420" w:firstLineChars="200"/>
        <w:jc w:val="right"/>
        <w:rPr>
          <w:color w:val="000000"/>
          <w:kern w:val="0"/>
        </w:rPr>
      </w:pPr>
      <w:r>
        <w:rPr>
          <w:color w:val="000000"/>
          <w:kern w:val="0"/>
        </w:rPr>
        <w:t>供应商名称： （盖章）</w:t>
      </w:r>
    </w:p>
    <w:p w14:paraId="5A6EA25D">
      <w:pPr>
        <w:pStyle w:val="27"/>
        <w:ind w:firstLine="420"/>
        <w:rPr>
          <w:rFonts w:ascii="Times New Roman" w:hAnsi="Times New Roman"/>
          <w:color w:val="000000"/>
          <w:kern w:val="0"/>
          <w:szCs w:val="21"/>
          <w:lang w:val="en-US"/>
        </w:rPr>
      </w:pPr>
    </w:p>
    <w:p w14:paraId="10ACDE49">
      <w:pPr>
        <w:pStyle w:val="27"/>
        <w:ind w:firstLine="420"/>
        <w:rPr>
          <w:rFonts w:ascii="Times New Roman" w:hAnsi="Times New Roman"/>
          <w:color w:val="000000"/>
          <w:kern w:val="0"/>
          <w:szCs w:val="21"/>
          <w:lang w:val="en-US"/>
        </w:rPr>
      </w:pPr>
    </w:p>
    <w:p w14:paraId="1CA02FB6">
      <w:pPr>
        <w:pStyle w:val="27"/>
        <w:ind w:firstLine="420"/>
        <w:rPr>
          <w:rFonts w:ascii="Times New Roman" w:hAnsi="Times New Roman"/>
          <w:color w:val="000000"/>
          <w:kern w:val="0"/>
          <w:szCs w:val="21"/>
          <w:lang w:val="en-US"/>
        </w:rPr>
      </w:pPr>
    </w:p>
    <w:p w14:paraId="6A55B7E9">
      <w:pPr>
        <w:pStyle w:val="27"/>
        <w:ind w:firstLine="420"/>
        <w:rPr>
          <w:rFonts w:ascii="Times New Roman" w:hAnsi="Times New Roman"/>
          <w:color w:val="000000"/>
          <w:kern w:val="0"/>
          <w:szCs w:val="21"/>
          <w:lang w:val="en-US"/>
        </w:rPr>
      </w:pPr>
    </w:p>
    <w:p w14:paraId="72BDDAA0">
      <w:pPr>
        <w:pStyle w:val="27"/>
        <w:ind w:firstLine="420"/>
        <w:rPr>
          <w:rFonts w:ascii="Times New Roman" w:hAnsi="Times New Roman"/>
          <w:color w:val="000000"/>
          <w:kern w:val="0"/>
          <w:szCs w:val="21"/>
          <w:lang w:val="en-US"/>
        </w:rPr>
      </w:pPr>
    </w:p>
    <w:p w14:paraId="3DC78EBE">
      <w:pPr>
        <w:pStyle w:val="27"/>
        <w:ind w:firstLine="420"/>
        <w:rPr>
          <w:rFonts w:ascii="Times New Roman" w:hAnsi="Times New Roman"/>
          <w:color w:val="000000"/>
          <w:kern w:val="0"/>
          <w:szCs w:val="21"/>
          <w:lang w:val="en-US"/>
        </w:rPr>
      </w:pPr>
    </w:p>
    <w:p w14:paraId="75023A43">
      <w:pPr>
        <w:pStyle w:val="27"/>
        <w:ind w:firstLine="420"/>
        <w:rPr>
          <w:rFonts w:ascii="Times New Roman" w:hAnsi="Times New Roman"/>
          <w:color w:val="000000"/>
          <w:kern w:val="0"/>
          <w:szCs w:val="21"/>
          <w:lang w:val="en-US"/>
        </w:rPr>
      </w:pPr>
    </w:p>
    <w:p w14:paraId="489121C9">
      <w:pPr>
        <w:pStyle w:val="27"/>
        <w:ind w:firstLine="420"/>
        <w:rPr>
          <w:rFonts w:ascii="Times New Roman" w:hAnsi="Times New Roman"/>
          <w:color w:val="000000"/>
          <w:kern w:val="0"/>
          <w:szCs w:val="21"/>
          <w:lang w:val="en-US"/>
        </w:rPr>
      </w:pPr>
    </w:p>
    <w:p w14:paraId="76676A1B">
      <w:pPr>
        <w:pStyle w:val="27"/>
        <w:ind w:firstLine="420"/>
        <w:rPr>
          <w:rFonts w:ascii="Times New Roman" w:hAnsi="Times New Roman"/>
          <w:color w:val="000000"/>
          <w:kern w:val="0"/>
          <w:szCs w:val="21"/>
          <w:lang w:val="en-US"/>
        </w:rPr>
      </w:pPr>
    </w:p>
    <w:p w14:paraId="43F05454">
      <w:pPr>
        <w:pStyle w:val="27"/>
        <w:ind w:firstLine="420"/>
        <w:rPr>
          <w:rFonts w:ascii="Times New Roman" w:hAnsi="Times New Roman"/>
          <w:color w:val="000000"/>
          <w:kern w:val="0"/>
          <w:szCs w:val="21"/>
          <w:lang w:val="en-US"/>
        </w:rPr>
      </w:pPr>
    </w:p>
    <w:p w14:paraId="58C38097">
      <w:pPr>
        <w:pStyle w:val="27"/>
        <w:ind w:firstLine="420"/>
        <w:rPr>
          <w:rFonts w:ascii="Times New Roman" w:hAnsi="Times New Roman"/>
          <w:color w:val="000000"/>
          <w:kern w:val="0"/>
          <w:szCs w:val="21"/>
          <w:lang w:val="en-US"/>
        </w:rPr>
      </w:pPr>
    </w:p>
    <w:p w14:paraId="5F996A61">
      <w:pPr>
        <w:widowControl/>
        <w:jc w:val="left"/>
        <w:rPr>
          <w:color w:val="000000"/>
          <w:kern w:val="0"/>
          <w:sz w:val="28"/>
          <w:szCs w:val="28"/>
        </w:rPr>
      </w:pPr>
    </w:p>
    <w:p w14:paraId="5A1226FD">
      <w:pPr>
        <w:widowControl/>
        <w:jc w:val="left"/>
        <w:rPr>
          <w:color w:val="000000"/>
          <w:kern w:val="0"/>
          <w:sz w:val="28"/>
          <w:szCs w:val="28"/>
        </w:rPr>
      </w:pPr>
    </w:p>
    <w:p w14:paraId="74B5552C">
      <w:pPr>
        <w:widowControl/>
        <w:jc w:val="left"/>
        <w:rPr>
          <w:color w:val="000000"/>
          <w:kern w:val="0"/>
          <w:sz w:val="28"/>
          <w:szCs w:val="28"/>
        </w:rPr>
      </w:pPr>
    </w:p>
    <w:p w14:paraId="56DBFFBE">
      <w:pPr>
        <w:widowControl/>
        <w:jc w:val="left"/>
        <w:rPr>
          <w:color w:val="000000"/>
          <w:kern w:val="0"/>
          <w:sz w:val="28"/>
          <w:szCs w:val="28"/>
        </w:rPr>
      </w:pPr>
    </w:p>
    <w:p w14:paraId="17C6297F">
      <w:pPr>
        <w:widowControl/>
        <w:jc w:val="left"/>
        <w:rPr>
          <w:color w:val="000000"/>
          <w:kern w:val="0"/>
          <w:sz w:val="28"/>
          <w:szCs w:val="28"/>
        </w:rPr>
      </w:pPr>
    </w:p>
    <w:p w14:paraId="2453E4A7">
      <w:pPr>
        <w:widowControl/>
        <w:jc w:val="left"/>
        <w:rPr>
          <w:color w:val="000000"/>
          <w:kern w:val="0"/>
          <w:sz w:val="28"/>
          <w:szCs w:val="28"/>
        </w:rPr>
      </w:pPr>
    </w:p>
    <w:p w14:paraId="7E5B2AF6">
      <w:pPr>
        <w:widowControl/>
        <w:jc w:val="left"/>
        <w:rPr>
          <w:color w:val="000000"/>
          <w:kern w:val="0"/>
          <w:sz w:val="28"/>
          <w:szCs w:val="28"/>
        </w:rPr>
      </w:pPr>
    </w:p>
    <w:p w14:paraId="496E18B3">
      <w:pPr>
        <w:widowControl/>
        <w:jc w:val="left"/>
        <w:rPr>
          <w:color w:val="000000"/>
          <w:kern w:val="0"/>
          <w:sz w:val="28"/>
          <w:szCs w:val="28"/>
        </w:rPr>
      </w:pPr>
    </w:p>
    <w:p w14:paraId="1A79D108">
      <w:pPr>
        <w:widowControl/>
        <w:jc w:val="left"/>
        <w:rPr>
          <w:color w:val="000000"/>
          <w:kern w:val="0"/>
          <w:sz w:val="28"/>
          <w:szCs w:val="28"/>
        </w:rPr>
      </w:pPr>
    </w:p>
    <w:p w14:paraId="1870DC29">
      <w:pPr>
        <w:widowControl/>
        <w:jc w:val="left"/>
        <w:rPr>
          <w:b/>
          <w:bCs/>
          <w:color w:val="000000"/>
          <w:kern w:val="0"/>
          <w:sz w:val="28"/>
          <w:szCs w:val="28"/>
        </w:rPr>
      </w:pPr>
    </w:p>
    <w:p w14:paraId="2CD0DA5A">
      <w:pPr>
        <w:widowControl/>
        <w:jc w:val="left"/>
      </w:pPr>
    </w:p>
    <w:p w14:paraId="02E8D119">
      <w:pPr>
        <w:widowControl/>
        <w:jc w:val="left"/>
        <w:rPr>
          <w:b/>
          <w:bCs/>
          <w:color w:val="000000"/>
          <w:kern w:val="0"/>
          <w:sz w:val="28"/>
          <w:szCs w:val="28"/>
        </w:rPr>
      </w:pPr>
      <w:r>
        <w:rPr>
          <w:b/>
          <w:bCs/>
          <w:color w:val="000000"/>
          <w:kern w:val="0"/>
          <w:sz w:val="28"/>
          <w:szCs w:val="28"/>
        </w:rPr>
        <w:t>附件六、客户清单</w:t>
      </w:r>
    </w:p>
    <w:p w14:paraId="42E394B1">
      <w:pPr>
        <w:widowControl/>
        <w:jc w:val="center"/>
        <w:rPr>
          <w:b/>
          <w:bCs/>
          <w:color w:val="000000"/>
          <w:kern w:val="0"/>
          <w:sz w:val="28"/>
          <w:szCs w:val="28"/>
        </w:rPr>
      </w:pPr>
    </w:p>
    <w:p w14:paraId="75924E8A">
      <w:pPr>
        <w:widowControl/>
        <w:jc w:val="center"/>
        <w:rPr>
          <w:b/>
          <w:bCs/>
          <w:color w:val="000000"/>
          <w:kern w:val="0"/>
          <w:sz w:val="28"/>
          <w:szCs w:val="28"/>
        </w:rPr>
      </w:pPr>
      <w:r>
        <w:rPr>
          <w:b/>
          <w:bCs/>
          <w:color w:val="000000"/>
          <w:kern w:val="0"/>
          <w:sz w:val="28"/>
          <w:szCs w:val="28"/>
        </w:rPr>
        <w:t>企业业绩情况表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14:paraId="0231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9898DC3">
            <w:pPr>
              <w:widowControl/>
              <w:jc w:val="left"/>
              <w:rPr>
                <w:b/>
                <w:color w:val="000000"/>
                <w:kern w:val="0"/>
              </w:rPr>
            </w:pPr>
            <w:r>
              <w:rPr>
                <w:b/>
                <w:color w:val="000000"/>
                <w:kern w:val="0"/>
              </w:rPr>
              <w:t>序号</w:t>
            </w:r>
          </w:p>
        </w:tc>
        <w:tc>
          <w:tcPr>
            <w:tcW w:w="1217" w:type="dxa"/>
          </w:tcPr>
          <w:p w14:paraId="3D62BCCC">
            <w:pPr>
              <w:widowControl/>
              <w:jc w:val="left"/>
              <w:rPr>
                <w:b/>
                <w:color w:val="000000"/>
                <w:kern w:val="0"/>
              </w:rPr>
            </w:pPr>
            <w:r>
              <w:rPr>
                <w:b/>
                <w:color w:val="000000"/>
                <w:kern w:val="0"/>
              </w:rPr>
              <w:t>客户单位名称</w:t>
            </w:r>
          </w:p>
        </w:tc>
        <w:tc>
          <w:tcPr>
            <w:tcW w:w="1217" w:type="dxa"/>
          </w:tcPr>
          <w:p w14:paraId="14CD7BD8">
            <w:pPr>
              <w:widowControl/>
              <w:jc w:val="left"/>
              <w:rPr>
                <w:b/>
                <w:color w:val="000000"/>
                <w:kern w:val="0"/>
              </w:rPr>
            </w:pPr>
            <w:r>
              <w:rPr>
                <w:b/>
                <w:color w:val="000000"/>
                <w:kern w:val="0"/>
              </w:rPr>
              <w:t>联系人</w:t>
            </w:r>
          </w:p>
        </w:tc>
        <w:tc>
          <w:tcPr>
            <w:tcW w:w="1217" w:type="dxa"/>
          </w:tcPr>
          <w:p w14:paraId="0CCC05EA">
            <w:pPr>
              <w:widowControl/>
              <w:jc w:val="left"/>
              <w:rPr>
                <w:b/>
                <w:color w:val="000000"/>
                <w:kern w:val="0"/>
              </w:rPr>
            </w:pPr>
            <w:r>
              <w:rPr>
                <w:b/>
                <w:color w:val="000000"/>
                <w:kern w:val="0"/>
              </w:rPr>
              <w:t xml:space="preserve">联系 方式 </w:t>
            </w:r>
          </w:p>
        </w:tc>
        <w:tc>
          <w:tcPr>
            <w:tcW w:w="2018" w:type="dxa"/>
          </w:tcPr>
          <w:p w14:paraId="46FABCB7">
            <w:pPr>
              <w:widowControl/>
              <w:jc w:val="left"/>
            </w:pPr>
            <w:r>
              <w:rPr>
                <w:b/>
                <w:color w:val="000000"/>
                <w:kern w:val="0"/>
              </w:rPr>
              <w:t xml:space="preserve">年采购金额 </w:t>
            </w:r>
          </w:p>
          <w:p w14:paraId="7C516BC7">
            <w:pPr>
              <w:widowControl/>
              <w:jc w:val="left"/>
              <w:rPr>
                <w:b/>
                <w:color w:val="000000"/>
                <w:kern w:val="0"/>
              </w:rPr>
            </w:pPr>
            <w:r>
              <w:rPr>
                <w:b/>
                <w:color w:val="000000"/>
                <w:kern w:val="0"/>
              </w:rPr>
              <w:t>（元）</w:t>
            </w:r>
          </w:p>
        </w:tc>
        <w:tc>
          <w:tcPr>
            <w:tcW w:w="1323" w:type="dxa"/>
          </w:tcPr>
          <w:p w14:paraId="538EF21C">
            <w:pPr>
              <w:widowControl/>
              <w:jc w:val="left"/>
              <w:rPr>
                <w:b/>
                <w:color w:val="000000"/>
                <w:kern w:val="0"/>
              </w:rPr>
            </w:pPr>
            <w:r>
              <w:rPr>
                <w:b/>
                <w:color w:val="000000"/>
                <w:kern w:val="0"/>
              </w:rPr>
              <w:t>备注</w:t>
            </w:r>
          </w:p>
        </w:tc>
      </w:tr>
      <w:tr w14:paraId="42C3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223D0361">
            <w:pPr>
              <w:widowControl/>
              <w:jc w:val="left"/>
              <w:rPr>
                <w:b/>
                <w:color w:val="000000"/>
                <w:kern w:val="0"/>
              </w:rPr>
            </w:pPr>
          </w:p>
        </w:tc>
        <w:tc>
          <w:tcPr>
            <w:tcW w:w="1217" w:type="dxa"/>
          </w:tcPr>
          <w:p w14:paraId="24017843">
            <w:pPr>
              <w:widowControl/>
              <w:jc w:val="left"/>
              <w:rPr>
                <w:b/>
                <w:color w:val="000000"/>
                <w:kern w:val="0"/>
              </w:rPr>
            </w:pPr>
          </w:p>
        </w:tc>
        <w:tc>
          <w:tcPr>
            <w:tcW w:w="1217" w:type="dxa"/>
          </w:tcPr>
          <w:p w14:paraId="39AC394B">
            <w:pPr>
              <w:widowControl/>
              <w:jc w:val="left"/>
              <w:rPr>
                <w:b/>
                <w:color w:val="000000"/>
                <w:kern w:val="0"/>
              </w:rPr>
            </w:pPr>
          </w:p>
        </w:tc>
        <w:tc>
          <w:tcPr>
            <w:tcW w:w="1217" w:type="dxa"/>
          </w:tcPr>
          <w:p w14:paraId="6F258404">
            <w:pPr>
              <w:widowControl/>
              <w:jc w:val="left"/>
              <w:rPr>
                <w:b/>
                <w:color w:val="000000"/>
                <w:kern w:val="0"/>
              </w:rPr>
            </w:pPr>
          </w:p>
        </w:tc>
        <w:tc>
          <w:tcPr>
            <w:tcW w:w="2018" w:type="dxa"/>
          </w:tcPr>
          <w:p w14:paraId="7970BFC0">
            <w:pPr>
              <w:widowControl/>
              <w:jc w:val="left"/>
              <w:rPr>
                <w:b/>
                <w:color w:val="000000"/>
                <w:kern w:val="0"/>
              </w:rPr>
            </w:pPr>
          </w:p>
        </w:tc>
        <w:tc>
          <w:tcPr>
            <w:tcW w:w="1323" w:type="dxa"/>
          </w:tcPr>
          <w:p w14:paraId="5442075C">
            <w:pPr>
              <w:widowControl/>
              <w:jc w:val="left"/>
              <w:rPr>
                <w:b/>
                <w:color w:val="000000"/>
                <w:kern w:val="0"/>
              </w:rPr>
            </w:pPr>
          </w:p>
        </w:tc>
      </w:tr>
      <w:tr w14:paraId="6725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8FDA00D">
            <w:pPr>
              <w:widowControl/>
              <w:jc w:val="left"/>
              <w:rPr>
                <w:b/>
                <w:color w:val="000000"/>
                <w:kern w:val="0"/>
              </w:rPr>
            </w:pPr>
          </w:p>
        </w:tc>
        <w:tc>
          <w:tcPr>
            <w:tcW w:w="1217" w:type="dxa"/>
          </w:tcPr>
          <w:p w14:paraId="44C46401">
            <w:pPr>
              <w:widowControl/>
              <w:jc w:val="left"/>
              <w:rPr>
                <w:b/>
                <w:color w:val="000000"/>
                <w:kern w:val="0"/>
              </w:rPr>
            </w:pPr>
          </w:p>
        </w:tc>
        <w:tc>
          <w:tcPr>
            <w:tcW w:w="1217" w:type="dxa"/>
          </w:tcPr>
          <w:p w14:paraId="5EDE6E22">
            <w:pPr>
              <w:widowControl/>
              <w:jc w:val="left"/>
              <w:rPr>
                <w:b/>
                <w:color w:val="000000"/>
                <w:kern w:val="0"/>
              </w:rPr>
            </w:pPr>
          </w:p>
        </w:tc>
        <w:tc>
          <w:tcPr>
            <w:tcW w:w="1217" w:type="dxa"/>
          </w:tcPr>
          <w:p w14:paraId="1271F21F">
            <w:pPr>
              <w:widowControl/>
              <w:jc w:val="left"/>
              <w:rPr>
                <w:b/>
                <w:color w:val="000000"/>
                <w:kern w:val="0"/>
              </w:rPr>
            </w:pPr>
          </w:p>
        </w:tc>
        <w:tc>
          <w:tcPr>
            <w:tcW w:w="2018" w:type="dxa"/>
          </w:tcPr>
          <w:p w14:paraId="72840A96">
            <w:pPr>
              <w:widowControl/>
              <w:jc w:val="left"/>
              <w:rPr>
                <w:b/>
                <w:color w:val="000000"/>
                <w:kern w:val="0"/>
              </w:rPr>
            </w:pPr>
          </w:p>
        </w:tc>
        <w:tc>
          <w:tcPr>
            <w:tcW w:w="1323" w:type="dxa"/>
          </w:tcPr>
          <w:p w14:paraId="3D9CFBD7">
            <w:pPr>
              <w:widowControl/>
              <w:jc w:val="left"/>
              <w:rPr>
                <w:b/>
                <w:color w:val="000000"/>
                <w:kern w:val="0"/>
              </w:rPr>
            </w:pPr>
          </w:p>
        </w:tc>
      </w:tr>
      <w:tr w14:paraId="62CF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2F98E79">
            <w:pPr>
              <w:widowControl/>
              <w:jc w:val="left"/>
              <w:rPr>
                <w:b/>
                <w:color w:val="000000"/>
                <w:kern w:val="0"/>
              </w:rPr>
            </w:pPr>
          </w:p>
        </w:tc>
        <w:tc>
          <w:tcPr>
            <w:tcW w:w="1217" w:type="dxa"/>
          </w:tcPr>
          <w:p w14:paraId="63BFB39A">
            <w:pPr>
              <w:widowControl/>
              <w:jc w:val="left"/>
              <w:rPr>
                <w:b/>
                <w:color w:val="000000"/>
                <w:kern w:val="0"/>
              </w:rPr>
            </w:pPr>
          </w:p>
        </w:tc>
        <w:tc>
          <w:tcPr>
            <w:tcW w:w="1217" w:type="dxa"/>
          </w:tcPr>
          <w:p w14:paraId="6AEBBC1D">
            <w:pPr>
              <w:widowControl/>
              <w:jc w:val="left"/>
              <w:rPr>
                <w:b/>
                <w:color w:val="000000"/>
                <w:kern w:val="0"/>
              </w:rPr>
            </w:pPr>
          </w:p>
        </w:tc>
        <w:tc>
          <w:tcPr>
            <w:tcW w:w="1217" w:type="dxa"/>
          </w:tcPr>
          <w:p w14:paraId="2D647F77">
            <w:pPr>
              <w:widowControl/>
              <w:jc w:val="left"/>
              <w:rPr>
                <w:b/>
                <w:color w:val="000000"/>
                <w:kern w:val="0"/>
              </w:rPr>
            </w:pPr>
          </w:p>
        </w:tc>
        <w:tc>
          <w:tcPr>
            <w:tcW w:w="2018" w:type="dxa"/>
          </w:tcPr>
          <w:p w14:paraId="728F112E">
            <w:pPr>
              <w:widowControl/>
              <w:jc w:val="left"/>
              <w:rPr>
                <w:b/>
                <w:color w:val="000000"/>
                <w:kern w:val="0"/>
              </w:rPr>
            </w:pPr>
          </w:p>
        </w:tc>
        <w:tc>
          <w:tcPr>
            <w:tcW w:w="1323" w:type="dxa"/>
          </w:tcPr>
          <w:p w14:paraId="6803AD30">
            <w:pPr>
              <w:widowControl/>
              <w:jc w:val="left"/>
              <w:rPr>
                <w:b/>
                <w:color w:val="000000"/>
                <w:kern w:val="0"/>
              </w:rPr>
            </w:pPr>
          </w:p>
        </w:tc>
      </w:tr>
      <w:tr w14:paraId="76C9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8919765">
            <w:pPr>
              <w:widowControl/>
              <w:jc w:val="left"/>
              <w:rPr>
                <w:b/>
                <w:color w:val="000000"/>
                <w:kern w:val="0"/>
              </w:rPr>
            </w:pPr>
          </w:p>
        </w:tc>
        <w:tc>
          <w:tcPr>
            <w:tcW w:w="1217" w:type="dxa"/>
          </w:tcPr>
          <w:p w14:paraId="1C77B1C2">
            <w:pPr>
              <w:widowControl/>
              <w:jc w:val="left"/>
              <w:rPr>
                <w:b/>
                <w:color w:val="000000"/>
                <w:kern w:val="0"/>
              </w:rPr>
            </w:pPr>
          </w:p>
        </w:tc>
        <w:tc>
          <w:tcPr>
            <w:tcW w:w="1217" w:type="dxa"/>
          </w:tcPr>
          <w:p w14:paraId="4B4D3510">
            <w:pPr>
              <w:widowControl/>
              <w:jc w:val="left"/>
              <w:rPr>
                <w:b/>
                <w:color w:val="000000"/>
                <w:kern w:val="0"/>
              </w:rPr>
            </w:pPr>
          </w:p>
        </w:tc>
        <w:tc>
          <w:tcPr>
            <w:tcW w:w="1217" w:type="dxa"/>
          </w:tcPr>
          <w:p w14:paraId="2156F329">
            <w:pPr>
              <w:widowControl/>
              <w:jc w:val="left"/>
              <w:rPr>
                <w:b/>
                <w:color w:val="000000"/>
                <w:kern w:val="0"/>
              </w:rPr>
            </w:pPr>
          </w:p>
        </w:tc>
        <w:tc>
          <w:tcPr>
            <w:tcW w:w="2018" w:type="dxa"/>
          </w:tcPr>
          <w:p w14:paraId="327E72C3">
            <w:pPr>
              <w:widowControl/>
              <w:jc w:val="left"/>
              <w:rPr>
                <w:b/>
                <w:color w:val="000000"/>
                <w:kern w:val="0"/>
              </w:rPr>
            </w:pPr>
          </w:p>
        </w:tc>
        <w:tc>
          <w:tcPr>
            <w:tcW w:w="1323" w:type="dxa"/>
          </w:tcPr>
          <w:p w14:paraId="5AB81252">
            <w:pPr>
              <w:widowControl/>
              <w:jc w:val="left"/>
              <w:rPr>
                <w:b/>
                <w:color w:val="000000"/>
                <w:kern w:val="0"/>
              </w:rPr>
            </w:pPr>
          </w:p>
        </w:tc>
      </w:tr>
    </w:tbl>
    <w:p w14:paraId="6A093301">
      <w:pPr>
        <w:widowControl/>
        <w:jc w:val="left"/>
      </w:pPr>
    </w:p>
    <w:p w14:paraId="7E2C94B8">
      <w:pPr>
        <w:widowControl/>
        <w:jc w:val="left"/>
      </w:pPr>
    </w:p>
    <w:p w14:paraId="3ED4245D">
      <w:pPr>
        <w:widowControl/>
        <w:jc w:val="left"/>
      </w:pPr>
    </w:p>
    <w:p w14:paraId="6D6F3E45">
      <w:pPr>
        <w:widowControl/>
        <w:jc w:val="left"/>
      </w:pPr>
    </w:p>
    <w:p w14:paraId="4D27C8E4">
      <w:pPr>
        <w:widowControl/>
        <w:jc w:val="left"/>
      </w:pPr>
    </w:p>
    <w:p w14:paraId="5D032639">
      <w:pPr>
        <w:widowControl/>
        <w:jc w:val="left"/>
      </w:pPr>
    </w:p>
    <w:p w14:paraId="512A6182">
      <w:pPr>
        <w:widowControl/>
        <w:jc w:val="right"/>
      </w:pPr>
      <w:r>
        <w:rPr>
          <w:color w:val="000000"/>
          <w:kern w:val="0"/>
        </w:rPr>
        <w:t xml:space="preserve">供应商名称： （盖章） </w:t>
      </w:r>
    </w:p>
    <w:p w14:paraId="630193CB">
      <w:pPr>
        <w:widowControl/>
        <w:jc w:val="left"/>
      </w:pPr>
      <w:r>
        <w:rPr>
          <w:color w:val="000000"/>
          <w:kern w:val="0"/>
        </w:rPr>
        <w:t xml:space="preserve">说明： </w:t>
      </w:r>
    </w:p>
    <w:p w14:paraId="21F9996F">
      <w:pPr>
        <w:widowControl/>
        <w:jc w:val="left"/>
      </w:pPr>
      <w:r>
        <w:rPr>
          <w:color w:val="000000"/>
          <w:kern w:val="0"/>
        </w:rPr>
        <w:t xml:space="preserve">1、此表为表样，行数可自行添加，但表式不变。 </w:t>
      </w:r>
    </w:p>
    <w:p w14:paraId="182B882F">
      <w:pPr>
        <w:widowControl/>
        <w:jc w:val="left"/>
      </w:pPr>
      <w:r>
        <w:rPr>
          <w:color w:val="000000"/>
          <w:kern w:val="0"/>
        </w:rPr>
        <w:t>2、证明材料按磋商文件要求按序作为本表附页附后。</w:t>
      </w:r>
    </w:p>
    <w:p w14:paraId="78F60271">
      <w:pPr>
        <w:pStyle w:val="27"/>
        <w:ind w:firstLine="420"/>
        <w:rPr>
          <w:rFonts w:ascii="Times New Roman" w:hAnsi="Times New Roman"/>
          <w:color w:val="000000"/>
          <w:kern w:val="0"/>
          <w:szCs w:val="21"/>
          <w:lang w:val="en-US"/>
        </w:rPr>
      </w:pPr>
    </w:p>
    <w:p w14:paraId="4B518754">
      <w:pPr>
        <w:pStyle w:val="27"/>
        <w:ind w:firstLine="422"/>
        <w:rPr>
          <w:rFonts w:ascii="Times New Roman" w:hAnsi="Times New Roman"/>
          <w:b/>
          <w:color w:val="000000"/>
          <w:kern w:val="0"/>
          <w:szCs w:val="21"/>
          <w:lang w:val="en-US"/>
        </w:rPr>
      </w:pPr>
    </w:p>
    <w:p w14:paraId="5BD04781">
      <w:pPr>
        <w:pStyle w:val="27"/>
        <w:ind w:firstLine="422"/>
        <w:rPr>
          <w:rFonts w:ascii="Times New Roman" w:hAnsi="Times New Roman"/>
          <w:b/>
          <w:color w:val="000000"/>
          <w:kern w:val="0"/>
          <w:szCs w:val="21"/>
          <w:lang w:val="en-US"/>
        </w:rPr>
      </w:pPr>
    </w:p>
    <w:p w14:paraId="0A2C650F">
      <w:pPr>
        <w:pStyle w:val="27"/>
        <w:ind w:firstLine="422"/>
        <w:rPr>
          <w:rFonts w:ascii="Times New Roman" w:hAnsi="Times New Roman"/>
          <w:b/>
          <w:color w:val="000000"/>
          <w:kern w:val="0"/>
          <w:szCs w:val="21"/>
          <w:lang w:val="en-US"/>
        </w:rPr>
      </w:pPr>
    </w:p>
    <w:p w14:paraId="4A66D408">
      <w:pPr>
        <w:pStyle w:val="27"/>
        <w:ind w:firstLine="422"/>
        <w:rPr>
          <w:rFonts w:ascii="Times New Roman" w:hAnsi="Times New Roman"/>
          <w:b/>
          <w:color w:val="000000"/>
          <w:kern w:val="0"/>
          <w:szCs w:val="21"/>
          <w:lang w:val="en-US"/>
        </w:rPr>
      </w:pPr>
    </w:p>
    <w:p w14:paraId="34330ABE">
      <w:pPr>
        <w:pStyle w:val="27"/>
        <w:ind w:firstLine="422"/>
        <w:rPr>
          <w:rFonts w:ascii="Times New Roman" w:hAnsi="Times New Roman"/>
          <w:b/>
          <w:color w:val="000000"/>
          <w:kern w:val="0"/>
          <w:szCs w:val="21"/>
          <w:lang w:val="en-US"/>
        </w:rPr>
      </w:pPr>
    </w:p>
    <w:p w14:paraId="1F763F69">
      <w:pPr>
        <w:pStyle w:val="27"/>
        <w:ind w:firstLine="422"/>
        <w:rPr>
          <w:rFonts w:ascii="Times New Roman" w:hAnsi="Times New Roman"/>
          <w:b/>
          <w:color w:val="000000"/>
          <w:kern w:val="0"/>
          <w:szCs w:val="21"/>
          <w:lang w:val="en-US"/>
        </w:rPr>
      </w:pPr>
    </w:p>
    <w:p w14:paraId="4BED23FE">
      <w:pPr>
        <w:pStyle w:val="27"/>
        <w:ind w:firstLine="422"/>
        <w:rPr>
          <w:rFonts w:ascii="Times New Roman" w:hAnsi="Times New Roman"/>
          <w:b/>
          <w:color w:val="000000"/>
          <w:kern w:val="0"/>
          <w:szCs w:val="21"/>
          <w:lang w:val="en-US"/>
        </w:rPr>
      </w:pPr>
    </w:p>
    <w:p w14:paraId="3A948036">
      <w:pPr>
        <w:pStyle w:val="27"/>
        <w:ind w:firstLine="422"/>
        <w:rPr>
          <w:rFonts w:ascii="Times New Roman" w:hAnsi="Times New Roman"/>
          <w:b/>
          <w:color w:val="000000"/>
          <w:kern w:val="0"/>
          <w:szCs w:val="21"/>
          <w:lang w:val="en-US"/>
        </w:rPr>
      </w:pPr>
    </w:p>
    <w:p w14:paraId="3907FE1B">
      <w:pPr>
        <w:pStyle w:val="27"/>
        <w:ind w:firstLine="422"/>
        <w:rPr>
          <w:rFonts w:ascii="Times New Roman" w:hAnsi="Times New Roman"/>
          <w:b/>
          <w:color w:val="000000"/>
          <w:kern w:val="0"/>
          <w:szCs w:val="21"/>
          <w:lang w:val="en-US"/>
        </w:rPr>
      </w:pPr>
    </w:p>
    <w:p w14:paraId="18F319A1">
      <w:pPr>
        <w:pStyle w:val="27"/>
        <w:ind w:firstLine="422"/>
        <w:rPr>
          <w:rFonts w:ascii="Times New Roman" w:hAnsi="Times New Roman"/>
          <w:b/>
          <w:color w:val="000000"/>
          <w:kern w:val="0"/>
          <w:szCs w:val="21"/>
          <w:lang w:val="en-US"/>
        </w:rPr>
      </w:pPr>
    </w:p>
    <w:p w14:paraId="1EA28F60">
      <w:pPr>
        <w:pStyle w:val="27"/>
        <w:ind w:firstLine="422"/>
        <w:rPr>
          <w:rFonts w:ascii="Times New Roman" w:hAnsi="Times New Roman"/>
          <w:b/>
          <w:color w:val="000000"/>
          <w:kern w:val="0"/>
          <w:szCs w:val="21"/>
          <w:lang w:val="en-US"/>
        </w:rPr>
      </w:pPr>
    </w:p>
    <w:p w14:paraId="1F8D4FA1">
      <w:pPr>
        <w:pStyle w:val="27"/>
        <w:ind w:firstLine="422"/>
        <w:rPr>
          <w:rFonts w:ascii="Times New Roman" w:hAnsi="Times New Roman"/>
          <w:b/>
          <w:color w:val="000000"/>
          <w:kern w:val="0"/>
          <w:szCs w:val="21"/>
          <w:lang w:val="en-US"/>
        </w:rPr>
      </w:pPr>
    </w:p>
    <w:p w14:paraId="7B53098F">
      <w:pPr>
        <w:pStyle w:val="27"/>
        <w:ind w:firstLine="422"/>
        <w:rPr>
          <w:rFonts w:ascii="Times New Roman" w:hAnsi="Times New Roman"/>
          <w:b/>
          <w:color w:val="000000"/>
          <w:kern w:val="0"/>
          <w:szCs w:val="21"/>
          <w:lang w:val="en-US"/>
        </w:rPr>
      </w:pPr>
    </w:p>
    <w:p w14:paraId="623CA3F5">
      <w:pPr>
        <w:pStyle w:val="27"/>
        <w:ind w:firstLine="422"/>
        <w:rPr>
          <w:rFonts w:ascii="Times New Roman" w:hAnsi="Times New Roman"/>
          <w:b/>
          <w:color w:val="000000"/>
          <w:kern w:val="0"/>
          <w:szCs w:val="21"/>
          <w:lang w:val="en-US"/>
        </w:rPr>
      </w:pPr>
    </w:p>
    <w:p w14:paraId="48E3767A">
      <w:pPr>
        <w:pStyle w:val="27"/>
        <w:ind w:firstLine="422"/>
        <w:rPr>
          <w:rFonts w:ascii="Times New Roman" w:hAnsi="Times New Roman"/>
          <w:b/>
          <w:color w:val="000000"/>
          <w:kern w:val="0"/>
          <w:szCs w:val="21"/>
          <w:lang w:val="en-US"/>
        </w:rPr>
      </w:pPr>
    </w:p>
    <w:p w14:paraId="1C3A3538">
      <w:pPr>
        <w:pStyle w:val="27"/>
        <w:ind w:firstLine="422"/>
        <w:rPr>
          <w:rFonts w:ascii="Times New Roman" w:hAnsi="Times New Roman"/>
          <w:b/>
          <w:color w:val="000000"/>
          <w:kern w:val="0"/>
          <w:szCs w:val="21"/>
          <w:lang w:val="en-US"/>
        </w:rPr>
      </w:pPr>
    </w:p>
    <w:p w14:paraId="4922F2D3">
      <w:pPr>
        <w:pStyle w:val="27"/>
        <w:ind w:firstLine="422"/>
        <w:rPr>
          <w:rFonts w:ascii="Times New Roman" w:hAnsi="Times New Roman"/>
          <w:b/>
          <w:color w:val="000000"/>
          <w:kern w:val="0"/>
          <w:szCs w:val="21"/>
          <w:lang w:val="en-US"/>
        </w:rPr>
      </w:pPr>
    </w:p>
    <w:p w14:paraId="1323E8F1">
      <w:pPr>
        <w:pStyle w:val="27"/>
        <w:ind w:firstLine="422"/>
        <w:rPr>
          <w:rFonts w:ascii="Times New Roman" w:hAnsi="Times New Roman"/>
          <w:b/>
          <w:color w:val="000000"/>
          <w:kern w:val="0"/>
          <w:szCs w:val="21"/>
          <w:lang w:val="en-US"/>
        </w:rPr>
      </w:pPr>
    </w:p>
    <w:p w14:paraId="366DCF4D">
      <w:pPr>
        <w:pStyle w:val="27"/>
        <w:ind w:firstLine="422"/>
        <w:rPr>
          <w:rFonts w:ascii="Times New Roman" w:hAnsi="Times New Roman"/>
          <w:b/>
          <w:color w:val="000000"/>
          <w:kern w:val="0"/>
          <w:szCs w:val="21"/>
          <w:lang w:val="en-US"/>
        </w:rPr>
      </w:pPr>
    </w:p>
    <w:p w14:paraId="25AC07B4">
      <w:pPr>
        <w:pStyle w:val="27"/>
        <w:ind w:firstLine="422"/>
        <w:rPr>
          <w:rFonts w:ascii="Times New Roman" w:hAnsi="Times New Roman"/>
          <w:b/>
          <w:color w:val="000000"/>
          <w:kern w:val="0"/>
          <w:szCs w:val="21"/>
          <w:lang w:val="en-US"/>
        </w:rPr>
      </w:pPr>
    </w:p>
    <w:p w14:paraId="2487E4E1">
      <w:pPr>
        <w:pStyle w:val="27"/>
        <w:ind w:firstLine="422"/>
        <w:rPr>
          <w:rFonts w:ascii="Times New Roman" w:hAnsi="Times New Roman"/>
          <w:b/>
          <w:color w:val="000000"/>
          <w:kern w:val="0"/>
          <w:szCs w:val="21"/>
          <w:lang w:val="en-US"/>
        </w:rPr>
      </w:pPr>
    </w:p>
    <w:p w14:paraId="0963AEFB">
      <w:pPr>
        <w:widowControl/>
        <w:jc w:val="left"/>
      </w:pPr>
      <w:r>
        <w:rPr>
          <w:b/>
          <w:bCs/>
          <w:color w:val="000000"/>
          <w:kern w:val="0"/>
          <w:sz w:val="28"/>
          <w:szCs w:val="28"/>
        </w:rPr>
        <w:t>附件七、</w:t>
      </w:r>
      <w:r>
        <w:rPr>
          <w:b/>
          <w:color w:val="000000"/>
          <w:kern w:val="0"/>
          <w:sz w:val="31"/>
          <w:szCs w:val="31"/>
        </w:rPr>
        <w:t>供应商资格证明材料</w:t>
      </w:r>
    </w:p>
    <w:p w14:paraId="35CBA9E8">
      <w:pPr>
        <w:widowControl/>
        <w:jc w:val="left"/>
        <w:rPr>
          <w:color w:val="000000"/>
          <w:kern w:val="0"/>
          <w:sz w:val="24"/>
          <w:szCs w:val="24"/>
        </w:rPr>
      </w:pPr>
    </w:p>
    <w:p w14:paraId="2EB1537A">
      <w:pPr>
        <w:widowControl/>
        <w:jc w:val="left"/>
        <w:rPr>
          <w:color w:val="000000"/>
          <w:kern w:val="0"/>
          <w:sz w:val="24"/>
          <w:szCs w:val="24"/>
        </w:rPr>
      </w:pPr>
    </w:p>
    <w:p w14:paraId="4A74D792">
      <w:pPr>
        <w:widowControl/>
        <w:jc w:val="left"/>
        <w:rPr>
          <w:color w:val="000000"/>
          <w:kern w:val="0"/>
          <w:sz w:val="24"/>
          <w:szCs w:val="24"/>
        </w:rPr>
      </w:pPr>
    </w:p>
    <w:p w14:paraId="5484112B">
      <w:pPr>
        <w:widowControl/>
        <w:jc w:val="left"/>
        <w:rPr>
          <w:color w:val="000000"/>
          <w:kern w:val="0"/>
          <w:sz w:val="24"/>
          <w:szCs w:val="24"/>
        </w:rPr>
      </w:pPr>
    </w:p>
    <w:p w14:paraId="19215CA0">
      <w:pPr>
        <w:widowControl/>
        <w:jc w:val="left"/>
        <w:rPr>
          <w:color w:val="000000"/>
          <w:kern w:val="0"/>
          <w:sz w:val="24"/>
          <w:szCs w:val="24"/>
        </w:rPr>
      </w:pPr>
    </w:p>
    <w:p w14:paraId="00F5949A">
      <w:pPr>
        <w:widowControl/>
        <w:jc w:val="left"/>
        <w:rPr>
          <w:color w:val="000000"/>
          <w:kern w:val="0"/>
          <w:sz w:val="24"/>
          <w:szCs w:val="24"/>
        </w:rPr>
      </w:pPr>
    </w:p>
    <w:p w14:paraId="1C79FC38">
      <w:pPr>
        <w:widowControl/>
        <w:jc w:val="left"/>
        <w:rPr>
          <w:color w:val="000000"/>
          <w:kern w:val="0"/>
          <w:sz w:val="24"/>
          <w:szCs w:val="24"/>
        </w:rPr>
      </w:pPr>
    </w:p>
    <w:p w14:paraId="3670D3D0">
      <w:pPr>
        <w:widowControl/>
        <w:jc w:val="left"/>
        <w:rPr>
          <w:color w:val="000000"/>
          <w:kern w:val="0"/>
          <w:sz w:val="24"/>
          <w:szCs w:val="24"/>
        </w:rPr>
      </w:pPr>
    </w:p>
    <w:p w14:paraId="71D8B0BF">
      <w:pPr>
        <w:widowControl/>
        <w:jc w:val="left"/>
        <w:rPr>
          <w:color w:val="000000"/>
          <w:kern w:val="0"/>
          <w:sz w:val="24"/>
          <w:szCs w:val="24"/>
        </w:rPr>
      </w:pPr>
    </w:p>
    <w:p w14:paraId="4CBC6EAF">
      <w:pPr>
        <w:widowControl/>
        <w:jc w:val="left"/>
        <w:rPr>
          <w:color w:val="000000"/>
          <w:kern w:val="0"/>
          <w:sz w:val="24"/>
          <w:szCs w:val="24"/>
        </w:rPr>
      </w:pPr>
    </w:p>
    <w:p w14:paraId="6E032E9C">
      <w:pPr>
        <w:widowControl/>
        <w:jc w:val="left"/>
        <w:rPr>
          <w:color w:val="000000"/>
          <w:kern w:val="0"/>
          <w:sz w:val="24"/>
          <w:szCs w:val="24"/>
        </w:rPr>
      </w:pPr>
    </w:p>
    <w:p w14:paraId="3307BA7C">
      <w:pPr>
        <w:widowControl/>
        <w:jc w:val="left"/>
        <w:rPr>
          <w:color w:val="000000"/>
          <w:kern w:val="0"/>
          <w:sz w:val="24"/>
          <w:szCs w:val="24"/>
        </w:rPr>
      </w:pPr>
    </w:p>
    <w:p w14:paraId="6159D211">
      <w:pPr>
        <w:widowControl/>
        <w:jc w:val="left"/>
        <w:rPr>
          <w:color w:val="000000"/>
          <w:kern w:val="0"/>
          <w:sz w:val="24"/>
          <w:szCs w:val="24"/>
        </w:rPr>
      </w:pPr>
    </w:p>
    <w:p w14:paraId="740F0C96">
      <w:pPr>
        <w:widowControl/>
        <w:jc w:val="left"/>
        <w:rPr>
          <w:color w:val="000000"/>
          <w:kern w:val="0"/>
          <w:sz w:val="24"/>
          <w:szCs w:val="24"/>
        </w:rPr>
      </w:pPr>
    </w:p>
    <w:p w14:paraId="1CEE277B">
      <w:pPr>
        <w:widowControl/>
        <w:jc w:val="left"/>
        <w:rPr>
          <w:color w:val="000000"/>
          <w:kern w:val="0"/>
          <w:sz w:val="24"/>
          <w:szCs w:val="24"/>
        </w:rPr>
      </w:pPr>
    </w:p>
    <w:p w14:paraId="49424C0E">
      <w:pPr>
        <w:widowControl/>
        <w:jc w:val="right"/>
      </w:pPr>
      <w:r>
        <w:rPr>
          <w:color w:val="000000"/>
          <w:kern w:val="0"/>
          <w:sz w:val="24"/>
          <w:szCs w:val="24"/>
        </w:rPr>
        <w:t xml:space="preserve">供应商名称： （加盖公章） </w:t>
      </w:r>
    </w:p>
    <w:p w14:paraId="30CCE1BB">
      <w:pPr>
        <w:widowControl/>
        <w:jc w:val="left"/>
        <w:rPr>
          <w:b/>
          <w:color w:val="000000"/>
          <w:kern w:val="0"/>
          <w:sz w:val="28"/>
          <w:szCs w:val="28"/>
        </w:rPr>
      </w:pPr>
    </w:p>
    <w:p w14:paraId="7E10F553">
      <w:pPr>
        <w:widowControl/>
        <w:jc w:val="left"/>
        <w:rPr>
          <w:b/>
          <w:color w:val="000000"/>
          <w:kern w:val="0"/>
          <w:sz w:val="28"/>
          <w:szCs w:val="28"/>
        </w:rPr>
      </w:pPr>
    </w:p>
    <w:p w14:paraId="4AC85545">
      <w:pPr>
        <w:widowControl/>
        <w:jc w:val="left"/>
        <w:rPr>
          <w:b/>
          <w:color w:val="000000"/>
          <w:kern w:val="0"/>
          <w:sz w:val="28"/>
          <w:szCs w:val="28"/>
        </w:rPr>
      </w:pPr>
    </w:p>
    <w:p w14:paraId="35760655">
      <w:pPr>
        <w:widowControl/>
        <w:jc w:val="left"/>
      </w:pPr>
      <w:r>
        <w:rPr>
          <w:b/>
          <w:color w:val="000000"/>
          <w:kern w:val="0"/>
          <w:sz w:val="28"/>
          <w:szCs w:val="28"/>
        </w:rPr>
        <w:t xml:space="preserve">未提供或未按要求提供以上材料的，将不能通过资格审查。 </w:t>
      </w:r>
    </w:p>
    <w:p w14:paraId="6E521A47">
      <w:pPr>
        <w:pStyle w:val="27"/>
        <w:ind w:firstLine="0" w:firstLineChars="0"/>
        <w:rPr>
          <w:rFonts w:ascii="Times New Roman" w:hAnsi="Times New Roman"/>
          <w:b/>
          <w:color w:val="000000"/>
          <w:kern w:val="0"/>
          <w:szCs w:val="21"/>
          <w:lang w:val="en-US"/>
        </w:rPr>
      </w:pPr>
    </w:p>
    <w:p w14:paraId="3500D091">
      <w:pPr>
        <w:pStyle w:val="27"/>
        <w:ind w:firstLine="0" w:firstLineChars="0"/>
        <w:rPr>
          <w:rFonts w:ascii="Times New Roman" w:hAnsi="Times New Roman"/>
          <w:b/>
          <w:color w:val="000000"/>
          <w:kern w:val="0"/>
          <w:szCs w:val="21"/>
          <w:lang w:val="en-US"/>
        </w:rPr>
      </w:pPr>
    </w:p>
    <w:p w14:paraId="199799AA">
      <w:pPr>
        <w:pStyle w:val="27"/>
        <w:ind w:firstLine="0" w:firstLineChars="0"/>
        <w:rPr>
          <w:rFonts w:ascii="Times New Roman" w:hAnsi="Times New Roman"/>
          <w:b/>
          <w:color w:val="000000"/>
          <w:kern w:val="0"/>
          <w:szCs w:val="21"/>
          <w:lang w:val="en-US"/>
        </w:rPr>
      </w:pPr>
    </w:p>
    <w:p w14:paraId="348608C0">
      <w:pPr>
        <w:pStyle w:val="27"/>
        <w:ind w:firstLine="0" w:firstLineChars="0"/>
        <w:rPr>
          <w:rFonts w:ascii="Times New Roman" w:hAnsi="Times New Roman"/>
          <w:b/>
          <w:color w:val="000000"/>
          <w:kern w:val="0"/>
          <w:szCs w:val="21"/>
          <w:lang w:val="en-US"/>
        </w:rPr>
      </w:pPr>
    </w:p>
    <w:p w14:paraId="3222857E">
      <w:pPr>
        <w:pStyle w:val="27"/>
        <w:ind w:firstLine="0" w:firstLineChars="0"/>
        <w:rPr>
          <w:rFonts w:ascii="Times New Roman" w:hAnsi="Times New Roman"/>
          <w:b/>
          <w:color w:val="000000"/>
          <w:kern w:val="0"/>
          <w:szCs w:val="21"/>
          <w:lang w:val="en-US"/>
        </w:rPr>
      </w:pPr>
    </w:p>
    <w:p w14:paraId="1EAB9B65">
      <w:pPr>
        <w:pStyle w:val="27"/>
        <w:ind w:firstLine="0" w:firstLineChars="0"/>
        <w:rPr>
          <w:rFonts w:ascii="Times New Roman" w:hAnsi="Times New Roman"/>
          <w:b/>
          <w:color w:val="000000"/>
          <w:kern w:val="0"/>
          <w:szCs w:val="21"/>
          <w:lang w:val="en-US"/>
        </w:rPr>
      </w:pPr>
    </w:p>
    <w:p w14:paraId="2250F03B">
      <w:pPr>
        <w:pStyle w:val="27"/>
        <w:ind w:firstLine="0" w:firstLineChars="0"/>
        <w:rPr>
          <w:rFonts w:ascii="Times New Roman" w:hAnsi="Times New Roman"/>
          <w:b/>
          <w:color w:val="000000"/>
          <w:kern w:val="0"/>
          <w:szCs w:val="21"/>
          <w:lang w:val="en-US"/>
        </w:rPr>
      </w:pPr>
    </w:p>
    <w:p w14:paraId="0A8E4F2F">
      <w:pPr>
        <w:pStyle w:val="27"/>
        <w:ind w:firstLine="0" w:firstLineChars="0"/>
        <w:rPr>
          <w:rFonts w:ascii="Times New Roman" w:hAnsi="Times New Roman"/>
          <w:b/>
          <w:color w:val="000000"/>
          <w:kern w:val="0"/>
          <w:szCs w:val="21"/>
          <w:lang w:val="en-US"/>
        </w:rPr>
      </w:pPr>
    </w:p>
    <w:p w14:paraId="0FF5872E">
      <w:pPr>
        <w:pStyle w:val="27"/>
        <w:ind w:firstLine="0" w:firstLineChars="0"/>
        <w:rPr>
          <w:rFonts w:ascii="Times New Roman" w:hAnsi="Times New Roman"/>
          <w:b/>
          <w:color w:val="000000"/>
          <w:kern w:val="0"/>
          <w:szCs w:val="21"/>
          <w:lang w:val="en-US"/>
        </w:rPr>
      </w:pPr>
    </w:p>
    <w:p w14:paraId="22E6DB91">
      <w:pPr>
        <w:pStyle w:val="27"/>
        <w:ind w:firstLine="0" w:firstLineChars="0"/>
        <w:rPr>
          <w:rFonts w:ascii="Times New Roman" w:hAnsi="Times New Roman"/>
          <w:b/>
          <w:color w:val="000000"/>
          <w:kern w:val="0"/>
          <w:szCs w:val="21"/>
          <w:lang w:val="en-US"/>
        </w:rPr>
      </w:pPr>
    </w:p>
    <w:p w14:paraId="3586B764">
      <w:pPr>
        <w:pStyle w:val="27"/>
        <w:ind w:firstLine="0" w:firstLineChars="0"/>
        <w:rPr>
          <w:rFonts w:ascii="Times New Roman" w:hAnsi="Times New Roman"/>
          <w:b/>
          <w:color w:val="000000"/>
          <w:kern w:val="0"/>
          <w:szCs w:val="21"/>
          <w:lang w:val="en-US"/>
        </w:rPr>
      </w:pPr>
    </w:p>
    <w:p w14:paraId="6A354D8F">
      <w:pPr>
        <w:pStyle w:val="27"/>
        <w:ind w:firstLine="0" w:firstLineChars="0"/>
        <w:rPr>
          <w:rFonts w:ascii="Times New Roman" w:hAnsi="Times New Roman"/>
          <w:b/>
          <w:color w:val="000000"/>
          <w:kern w:val="0"/>
          <w:szCs w:val="21"/>
          <w:lang w:val="en-US"/>
        </w:rPr>
      </w:pPr>
    </w:p>
    <w:p w14:paraId="2230A0A9">
      <w:pPr>
        <w:pStyle w:val="27"/>
        <w:ind w:firstLine="0" w:firstLineChars="0"/>
        <w:rPr>
          <w:rFonts w:ascii="Times New Roman" w:hAnsi="Times New Roman"/>
          <w:b/>
          <w:color w:val="000000"/>
          <w:kern w:val="0"/>
          <w:szCs w:val="21"/>
          <w:lang w:val="en-US"/>
        </w:rPr>
      </w:pPr>
    </w:p>
    <w:p w14:paraId="39484968">
      <w:pPr>
        <w:pStyle w:val="27"/>
        <w:ind w:firstLine="0" w:firstLineChars="0"/>
        <w:rPr>
          <w:rFonts w:ascii="Times New Roman" w:hAnsi="Times New Roman"/>
          <w:b/>
          <w:color w:val="000000"/>
          <w:kern w:val="0"/>
          <w:szCs w:val="21"/>
          <w:lang w:val="en-US"/>
        </w:rPr>
      </w:pPr>
    </w:p>
    <w:p w14:paraId="01D9D065">
      <w:pPr>
        <w:pStyle w:val="27"/>
        <w:ind w:firstLine="0" w:firstLineChars="0"/>
        <w:rPr>
          <w:rFonts w:ascii="Times New Roman" w:hAnsi="Times New Roman"/>
          <w:b/>
          <w:color w:val="000000"/>
          <w:kern w:val="0"/>
          <w:szCs w:val="21"/>
          <w:lang w:val="en-US"/>
        </w:rPr>
      </w:pPr>
    </w:p>
    <w:p w14:paraId="7B40837E">
      <w:pPr>
        <w:pStyle w:val="27"/>
        <w:ind w:firstLine="0" w:firstLineChars="0"/>
        <w:rPr>
          <w:rFonts w:ascii="Times New Roman" w:hAnsi="Times New Roman"/>
          <w:b/>
          <w:color w:val="000000"/>
          <w:kern w:val="0"/>
          <w:szCs w:val="21"/>
          <w:lang w:val="en-US"/>
        </w:rPr>
      </w:pPr>
    </w:p>
    <w:p w14:paraId="51E708E5">
      <w:pPr>
        <w:pStyle w:val="27"/>
        <w:ind w:firstLine="0" w:firstLineChars="0"/>
        <w:rPr>
          <w:rFonts w:ascii="Times New Roman" w:hAnsi="Times New Roman"/>
          <w:b/>
          <w:color w:val="000000"/>
          <w:kern w:val="0"/>
          <w:szCs w:val="21"/>
          <w:lang w:val="en-US"/>
        </w:rPr>
      </w:pPr>
    </w:p>
    <w:p w14:paraId="384A6448">
      <w:pPr>
        <w:pStyle w:val="27"/>
        <w:ind w:firstLine="0" w:firstLineChars="0"/>
        <w:rPr>
          <w:rFonts w:ascii="Times New Roman" w:hAnsi="Times New Roman"/>
          <w:b/>
          <w:color w:val="000000"/>
          <w:kern w:val="0"/>
          <w:szCs w:val="21"/>
          <w:lang w:val="en-US"/>
        </w:rPr>
      </w:pPr>
    </w:p>
    <w:p w14:paraId="3A4B2488">
      <w:pPr>
        <w:widowControl/>
        <w:jc w:val="left"/>
      </w:pPr>
      <w:r>
        <w:rPr>
          <w:b/>
          <w:bCs/>
          <w:color w:val="000000"/>
          <w:kern w:val="0"/>
          <w:sz w:val="28"/>
          <w:szCs w:val="28"/>
        </w:rPr>
        <w:t>附件八、</w:t>
      </w:r>
      <w:r>
        <w:rPr>
          <w:b/>
          <w:color w:val="000000"/>
          <w:kern w:val="0"/>
          <w:sz w:val="28"/>
          <w:szCs w:val="28"/>
        </w:rPr>
        <w:t xml:space="preserve">无重大违法记录声明 </w:t>
      </w:r>
    </w:p>
    <w:p w14:paraId="523982D8">
      <w:pPr>
        <w:widowControl/>
        <w:spacing w:line="360" w:lineRule="auto"/>
        <w:ind w:firstLine="420" w:firstLineChars="200"/>
        <w:jc w:val="left"/>
      </w:pPr>
      <w:r>
        <w:rPr>
          <w:color w:val="000000"/>
          <w:kern w:val="0"/>
        </w:rPr>
        <w:t>致：南京市疾病预防控制中心</w:t>
      </w:r>
    </w:p>
    <w:p w14:paraId="6B5ECC40">
      <w:pPr>
        <w:widowControl/>
        <w:spacing w:line="360" w:lineRule="auto"/>
        <w:ind w:firstLine="420" w:firstLineChars="200"/>
        <w:jc w:val="left"/>
      </w:pPr>
      <w:r>
        <w:rPr>
          <w:color w:val="000000"/>
          <w:kern w:val="0"/>
        </w:rPr>
        <w:t xml:space="preserve">我单位 （供应商名称）郑重声明： </w:t>
      </w:r>
    </w:p>
    <w:p w14:paraId="2F369338">
      <w:pPr>
        <w:widowControl/>
        <w:spacing w:line="360" w:lineRule="auto"/>
        <w:ind w:firstLine="420" w:firstLineChars="200"/>
        <w:jc w:val="left"/>
      </w:pPr>
      <w:r>
        <w:rPr>
          <w:color w:val="000000"/>
          <w:kern w:val="0"/>
        </w:rPr>
        <w:t xml:space="preserve">参加政府采购活动前 3 年内在经营活动中   （在下划线上如实填写：有或没有）重大违法记录。 </w:t>
      </w:r>
    </w:p>
    <w:p w14:paraId="76D0D5A7">
      <w:pPr>
        <w:widowControl/>
        <w:spacing w:line="360" w:lineRule="auto"/>
        <w:ind w:firstLine="420" w:firstLineChars="200"/>
        <w:jc w:val="left"/>
      </w:pPr>
      <w:r>
        <w:rPr>
          <w:color w:val="000000"/>
          <w:kern w:val="0"/>
        </w:rPr>
        <w:t xml:space="preserve">（说明：政府采购法第二十二条第一款第五项所称重大违法记录，是指供应商因违法经营受到刑事处罚或者责令停产停业、吊销许可证或者执照、较大数额罚款等行政处罚。） </w:t>
      </w:r>
    </w:p>
    <w:p w14:paraId="626567CE">
      <w:pPr>
        <w:widowControl/>
        <w:spacing w:line="360" w:lineRule="auto"/>
        <w:ind w:firstLine="420" w:firstLineChars="200"/>
        <w:jc w:val="right"/>
        <w:rPr>
          <w:color w:val="000000"/>
          <w:kern w:val="0"/>
        </w:rPr>
      </w:pPr>
    </w:p>
    <w:p w14:paraId="2F8009A3">
      <w:pPr>
        <w:widowControl/>
        <w:spacing w:line="360" w:lineRule="auto"/>
        <w:ind w:firstLine="420" w:firstLineChars="200"/>
        <w:jc w:val="right"/>
        <w:rPr>
          <w:color w:val="000000"/>
          <w:kern w:val="0"/>
        </w:rPr>
      </w:pPr>
    </w:p>
    <w:p w14:paraId="07E6F5B2">
      <w:pPr>
        <w:widowControl/>
        <w:spacing w:line="360" w:lineRule="auto"/>
        <w:ind w:firstLine="420" w:firstLineChars="200"/>
        <w:jc w:val="right"/>
        <w:rPr>
          <w:color w:val="000000"/>
          <w:kern w:val="0"/>
        </w:rPr>
      </w:pPr>
    </w:p>
    <w:p w14:paraId="595CD7D1">
      <w:pPr>
        <w:widowControl/>
        <w:spacing w:line="360" w:lineRule="auto"/>
        <w:ind w:firstLine="420" w:firstLineChars="200"/>
        <w:jc w:val="right"/>
        <w:rPr>
          <w:color w:val="000000"/>
          <w:kern w:val="0"/>
        </w:rPr>
      </w:pPr>
    </w:p>
    <w:p w14:paraId="3CD7E59B">
      <w:pPr>
        <w:widowControl/>
        <w:spacing w:line="360" w:lineRule="auto"/>
        <w:ind w:firstLine="420" w:firstLineChars="200"/>
        <w:jc w:val="right"/>
      </w:pPr>
      <w:r>
        <w:rPr>
          <w:color w:val="000000"/>
          <w:kern w:val="0"/>
        </w:rPr>
        <w:t xml:space="preserve">声明人：（公章） </w:t>
      </w:r>
    </w:p>
    <w:p w14:paraId="7EDE14AA">
      <w:pPr>
        <w:widowControl/>
        <w:spacing w:line="360" w:lineRule="auto"/>
        <w:ind w:firstLine="420" w:firstLineChars="200"/>
        <w:jc w:val="right"/>
      </w:pPr>
      <w:r>
        <w:rPr>
          <w:color w:val="000000"/>
          <w:kern w:val="0"/>
        </w:rPr>
        <w:t xml:space="preserve">年 月 日 </w:t>
      </w:r>
    </w:p>
    <w:p w14:paraId="06A70927">
      <w:pPr>
        <w:pStyle w:val="27"/>
        <w:spacing w:line="360" w:lineRule="auto"/>
        <w:ind w:firstLine="422"/>
        <w:rPr>
          <w:rFonts w:ascii="Times New Roman" w:hAnsi="Times New Roman"/>
          <w:b/>
          <w:color w:val="000000"/>
          <w:kern w:val="0"/>
          <w:szCs w:val="21"/>
          <w:lang w:val="en-US"/>
        </w:rPr>
      </w:pPr>
    </w:p>
    <w:p w14:paraId="4770DC4A"/>
    <w:p w14:paraId="0C297C1E">
      <w:pPr>
        <w:widowControl/>
        <w:jc w:val="left"/>
        <w:rPr>
          <w:rFonts w:eastAsia="仿宋"/>
          <w:sz w:val="24"/>
          <w:szCs w:val="28"/>
        </w:rPr>
      </w:pPr>
    </w:p>
    <w:p w14:paraId="6400A671">
      <w:pPr>
        <w:widowControl/>
        <w:jc w:val="left"/>
        <w:rPr>
          <w:rFonts w:eastAsia="仿宋"/>
          <w:sz w:val="24"/>
          <w:szCs w:val="28"/>
        </w:rPr>
      </w:pPr>
    </w:p>
    <w:p w14:paraId="19757F34">
      <w:pPr>
        <w:widowControl/>
        <w:jc w:val="left"/>
        <w:rPr>
          <w:rFonts w:eastAsia="仿宋"/>
          <w:sz w:val="24"/>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14:paraId="3C36E58C">
        <w:pPr>
          <w:pStyle w:val="14"/>
          <w:jc w:val="center"/>
        </w:pPr>
        <w:r>
          <w:fldChar w:fldCharType="begin"/>
        </w:r>
        <w:r>
          <w:instrText xml:space="preserve">PAGE   \* MERGEFORMAT</w:instrText>
        </w:r>
        <w:r>
          <w:fldChar w:fldCharType="separate"/>
        </w:r>
        <w:r>
          <w:rPr>
            <w:lang w:val="zh-CN"/>
          </w:rPr>
          <w:t>10</w:t>
        </w:r>
        <w:r>
          <w:rPr>
            <w:lang w:val="zh-CN"/>
          </w:rPr>
          <w:fldChar w:fldCharType="end"/>
        </w:r>
      </w:p>
    </w:sdtContent>
  </w:sdt>
  <w:p w14:paraId="12746584">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D73A6"/>
    <w:multiLevelType w:val="singleLevel"/>
    <w:tmpl w:val="903D73A6"/>
    <w:lvl w:ilvl="0" w:tentative="0">
      <w:start w:val="1"/>
      <w:numFmt w:val="decimal"/>
      <w:suff w:val="nothing"/>
      <w:lvlText w:val="（%1）"/>
      <w:lvlJc w:val="left"/>
    </w:lvl>
  </w:abstractNum>
  <w:abstractNum w:abstractNumId="1">
    <w:nsid w:val="AFD9DC4E"/>
    <w:multiLevelType w:val="singleLevel"/>
    <w:tmpl w:val="AFD9DC4E"/>
    <w:lvl w:ilvl="0" w:tentative="0">
      <w:start w:val="1"/>
      <w:numFmt w:val="decimal"/>
      <w:suff w:val="nothing"/>
      <w:lvlText w:val="%1、"/>
      <w:lvlJc w:val="left"/>
    </w:lvl>
  </w:abstractNum>
  <w:abstractNum w:abstractNumId="2">
    <w:nsid w:val="DD4BCB46"/>
    <w:multiLevelType w:val="singleLevel"/>
    <w:tmpl w:val="DD4BCB46"/>
    <w:lvl w:ilvl="0" w:tentative="0">
      <w:start w:val="1"/>
      <w:numFmt w:val="decimal"/>
      <w:suff w:val="nothing"/>
      <w:lvlText w:val="（%1）"/>
      <w:lvlJc w:val="left"/>
    </w:lvl>
  </w:abstractNum>
  <w:abstractNum w:abstractNumId="3">
    <w:nsid w:val="3BC5D3F2"/>
    <w:multiLevelType w:val="singleLevel"/>
    <w:tmpl w:val="3BC5D3F2"/>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jOWI3OTMwYWZmNzFkNTAxOTE2YTgzMzU3ZjUwODUifQ=="/>
  </w:docVars>
  <w:rsids>
    <w:rsidRoot w:val="00244094"/>
    <w:rsid w:val="000029C4"/>
    <w:rsid w:val="000035E0"/>
    <w:rsid w:val="00022E3C"/>
    <w:rsid w:val="0003080A"/>
    <w:rsid w:val="000312DE"/>
    <w:rsid w:val="000333A5"/>
    <w:rsid w:val="00036F7C"/>
    <w:rsid w:val="000423E6"/>
    <w:rsid w:val="000440C8"/>
    <w:rsid w:val="000451D2"/>
    <w:rsid w:val="0004645D"/>
    <w:rsid w:val="000474D5"/>
    <w:rsid w:val="00047A46"/>
    <w:rsid w:val="00055A7A"/>
    <w:rsid w:val="0005737B"/>
    <w:rsid w:val="00057D99"/>
    <w:rsid w:val="00062930"/>
    <w:rsid w:val="00066BAC"/>
    <w:rsid w:val="0007085A"/>
    <w:rsid w:val="000726D8"/>
    <w:rsid w:val="00087F17"/>
    <w:rsid w:val="000915D4"/>
    <w:rsid w:val="00091885"/>
    <w:rsid w:val="000A1467"/>
    <w:rsid w:val="000A2541"/>
    <w:rsid w:val="000A6769"/>
    <w:rsid w:val="000A7235"/>
    <w:rsid w:val="000C4B18"/>
    <w:rsid w:val="000D3B95"/>
    <w:rsid w:val="000D5040"/>
    <w:rsid w:val="000D6508"/>
    <w:rsid w:val="000E205D"/>
    <w:rsid w:val="001079A4"/>
    <w:rsid w:val="00110BD8"/>
    <w:rsid w:val="0011462A"/>
    <w:rsid w:val="00140371"/>
    <w:rsid w:val="00151C8B"/>
    <w:rsid w:val="001576F9"/>
    <w:rsid w:val="00160825"/>
    <w:rsid w:val="001627BE"/>
    <w:rsid w:val="00173F12"/>
    <w:rsid w:val="0018016E"/>
    <w:rsid w:val="00187965"/>
    <w:rsid w:val="00192356"/>
    <w:rsid w:val="00192906"/>
    <w:rsid w:val="00194513"/>
    <w:rsid w:val="001A0BD6"/>
    <w:rsid w:val="001A2B0F"/>
    <w:rsid w:val="001A52F0"/>
    <w:rsid w:val="001A53F6"/>
    <w:rsid w:val="001C4017"/>
    <w:rsid w:val="001C4B6D"/>
    <w:rsid w:val="001D1641"/>
    <w:rsid w:val="001E04CB"/>
    <w:rsid w:val="001E576F"/>
    <w:rsid w:val="001E5F32"/>
    <w:rsid w:val="001E7714"/>
    <w:rsid w:val="001F0B63"/>
    <w:rsid w:val="001F2B23"/>
    <w:rsid w:val="002202EC"/>
    <w:rsid w:val="00221606"/>
    <w:rsid w:val="002364BA"/>
    <w:rsid w:val="00244094"/>
    <w:rsid w:val="00246690"/>
    <w:rsid w:val="00246B65"/>
    <w:rsid w:val="002547B7"/>
    <w:rsid w:val="002649B1"/>
    <w:rsid w:val="002707C6"/>
    <w:rsid w:val="00272AB0"/>
    <w:rsid w:val="00274F1F"/>
    <w:rsid w:val="0028478E"/>
    <w:rsid w:val="002855A6"/>
    <w:rsid w:val="002B17BC"/>
    <w:rsid w:val="002B30E8"/>
    <w:rsid w:val="002B6DAE"/>
    <w:rsid w:val="002C1C68"/>
    <w:rsid w:val="002C4775"/>
    <w:rsid w:val="002C56F4"/>
    <w:rsid w:val="002D21DA"/>
    <w:rsid w:val="002D27A7"/>
    <w:rsid w:val="002D5C7A"/>
    <w:rsid w:val="002E2AC8"/>
    <w:rsid w:val="002F1782"/>
    <w:rsid w:val="002F3EB2"/>
    <w:rsid w:val="002F4172"/>
    <w:rsid w:val="003015F8"/>
    <w:rsid w:val="00301B3F"/>
    <w:rsid w:val="00305E0A"/>
    <w:rsid w:val="00307567"/>
    <w:rsid w:val="00313DC9"/>
    <w:rsid w:val="00317BDE"/>
    <w:rsid w:val="00317E41"/>
    <w:rsid w:val="00321D44"/>
    <w:rsid w:val="00322E12"/>
    <w:rsid w:val="003271E9"/>
    <w:rsid w:val="00341C12"/>
    <w:rsid w:val="00346DAC"/>
    <w:rsid w:val="003545D5"/>
    <w:rsid w:val="00357281"/>
    <w:rsid w:val="003643BE"/>
    <w:rsid w:val="00364420"/>
    <w:rsid w:val="0037220D"/>
    <w:rsid w:val="00381B4D"/>
    <w:rsid w:val="0038670E"/>
    <w:rsid w:val="003A0FA7"/>
    <w:rsid w:val="003B4444"/>
    <w:rsid w:val="003C17EE"/>
    <w:rsid w:val="003C4BF2"/>
    <w:rsid w:val="003D04C7"/>
    <w:rsid w:val="003D07F4"/>
    <w:rsid w:val="003D146B"/>
    <w:rsid w:val="003D3453"/>
    <w:rsid w:val="003D5771"/>
    <w:rsid w:val="003D690C"/>
    <w:rsid w:val="003D7FAC"/>
    <w:rsid w:val="003E4B48"/>
    <w:rsid w:val="003F068B"/>
    <w:rsid w:val="003F10D3"/>
    <w:rsid w:val="003F2539"/>
    <w:rsid w:val="003F3AD7"/>
    <w:rsid w:val="0040170C"/>
    <w:rsid w:val="00405A16"/>
    <w:rsid w:val="00430D5D"/>
    <w:rsid w:val="0043420C"/>
    <w:rsid w:val="00441096"/>
    <w:rsid w:val="00445621"/>
    <w:rsid w:val="004558B8"/>
    <w:rsid w:val="004562A6"/>
    <w:rsid w:val="004612D4"/>
    <w:rsid w:val="00461A98"/>
    <w:rsid w:val="00461B67"/>
    <w:rsid w:val="00465120"/>
    <w:rsid w:val="00472A55"/>
    <w:rsid w:val="0048056F"/>
    <w:rsid w:val="004844F2"/>
    <w:rsid w:val="004B0417"/>
    <w:rsid w:val="004B79A5"/>
    <w:rsid w:val="004C5297"/>
    <w:rsid w:val="004D1EEE"/>
    <w:rsid w:val="004D6B10"/>
    <w:rsid w:val="004E0168"/>
    <w:rsid w:val="004E58AB"/>
    <w:rsid w:val="004F0CA3"/>
    <w:rsid w:val="004F449A"/>
    <w:rsid w:val="004F66CE"/>
    <w:rsid w:val="00507221"/>
    <w:rsid w:val="0051643B"/>
    <w:rsid w:val="005279D2"/>
    <w:rsid w:val="00534F4E"/>
    <w:rsid w:val="00552395"/>
    <w:rsid w:val="00556FCF"/>
    <w:rsid w:val="0058088E"/>
    <w:rsid w:val="00581584"/>
    <w:rsid w:val="00581E7B"/>
    <w:rsid w:val="00582C60"/>
    <w:rsid w:val="00587BD5"/>
    <w:rsid w:val="005902A4"/>
    <w:rsid w:val="00591415"/>
    <w:rsid w:val="005A5639"/>
    <w:rsid w:val="005B3EB6"/>
    <w:rsid w:val="005B4DBA"/>
    <w:rsid w:val="005B5C3A"/>
    <w:rsid w:val="005C279A"/>
    <w:rsid w:val="005D6AAF"/>
    <w:rsid w:val="005E6C33"/>
    <w:rsid w:val="005E6E76"/>
    <w:rsid w:val="005F0170"/>
    <w:rsid w:val="005F1EC0"/>
    <w:rsid w:val="0062399F"/>
    <w:rsid w:val="00624D57"/>
    <w:rsid w:val="00637BEB"/>
    <w:rsid w:val="006648F8"/>
    <w:rsid w:val="00672B4B"/>
    <w:rsid w:val="00682540"/>
    <w:rsid w:val="00682D95"/>
    <w:rsid w:val="00685C71"/>
    <w:rsid w:val="00686C3A"/>
    <w:rsid w:val="00692D6C"/>
    <w:rsid w:val="006933DA"/>
    <w:rsid w:val="006939FC"/>
    <w:rsid w:val="00696EFD"/>
    <w:rsid w:val="006A3FE7"/>
    <w:rsid w:val="006A7F3B"/>
    <w:rsid w:val="006B2E8B"/>
    <w:rsid w:val="006D1B26"/>
    <w:rsid w:val="006D612F"/>
    <w:rsid w:val="006E2250"/>
    <w:rsid w:val="00700252"/>
    <w:rsid w:val="00700EB5"/>
    <w:rsid w:val="00705A27"/>
    <w:rsid w:val="007122E2"/>
    <w:rsid w:val="007160B3"/>
    <w:rsid w:val="00726556"/>
    <w:rsid w:val="007278B5"/>
    <w:rsid w:val="0073193D"/>
    <w:rsid w:val="0073253D"/>
    <w:rsid w:val="00735285"/>
    <w:rsid w:val="00744725"/>
    <w:rsid w:val="0075283A"/>
    <w:rsid w:val="007627A9"/>
    <w:rsid w:val="007856A4"/>
    <w:rsid w:val="00795A0D"/>
    <w:rsid w:val="0079663A"/>
    <w:rsid w:val="007B238E"/>
    <w:rsid w:val="007B3356"/>
    <w:rsid w:val="007D3904"/>
    <w:rsid w:val="007D6D73"/>
    <w:rsid w:val="007E2D83"/>
    <w:rsid w:val="007E582A"/>
    <w:rsid w:val="007E6E83"/>
    <w:rsid w:val="007F1EAB"/>
    <w:rsid w:val="007F2513"/>
    <w:rsid w:val="007F712D"/>
    <w:rsid w:val="00806E02"/>
    <w:rsid w:val="0080774A"/>
    <w:rsid w:val="008125B3"/>
    <w:rsid w:val="008257DE"/>
    <w:rsid w:val="00834022"/>
    <w:rsid w:val="00836A14"/>
    <w:rsid w:val="0083796D"/>
    <w:rsid w:val="00852A78"/>
    <w:rsid w:val="00852D40"/>
    <w:rsid w:val="00853C9F"/>
    <w:rsid w:val="00865510"/>
    <w:rsid w:val="008724D7"/>
    <w:rsid w:val="00873069"/>
    <w:rsid w:val="00877846"/>
    <w:rsid w:val="00877C6E"/>
    <w:rsid w:val="008871FA"/>
    <w:rsid w:val="0089223A"/>
    <w:rsid w:val="008974EE"/>
    <w:rsid w:val="008A0810"/>
    <w:rsid w:val="008A1192"/>
    <w:rsid w:val="008A2FE7"/>
    <w:rsid w:val="008A6272"/>
    <w:rsid w:val="008B615F"/>
    <w:rsid w:val="008B75E2"/>
    <w:rsid w:val="008B79A7"/>
    <w:rsid w:val="008C04F9"/>
    <w:rsid w:val="008C253A"/>
    <w:rsid w:val="008C31B8"/>
    <w:rsid w:val="008D3DF7"/>
    <w:rsid w:val="008E2857"/>
    <w:rsid w:val="008E3F10"/>
    <w:rsid w:val="008F2213"/>
    <w:rsid w:val="008F47D6"/>
    <w:rsid w:val="008F496A"/>
    <w:rsid w:val="00900E9B"/>
    <w:rsid w:val="00902ACB"/>
    <w:rsid w:val="0090581E"/>
    <w:rsid w:val="00911476"/>
    <w:rsid w:val="00912539"/>
    <w:rsid w:val="00912B3B"/>
    <w:rsid w:val="00915D45"/>
    <w:rsid w:val="00915E66"/>
    <w:rsid w:val="0092046E"/>
    <w:rsid w:val="00930B85"/>
    <w:rsid w:val="009351DC"/>
    <w:rsid w:val="00945CD7"/>
    <w:rsid w:val="00952796"/>
    <w:rsid w:val="00966F02"/>
    <w:rsid w:val="00970276"/>
    <w:rsid w:val="00970BC5"/>
    <w:rsid w:val="00984092"/>
    <w:rsid w:val="009843DE"/>
    <w:rsid w:val="009918AE"/>
    <w:rsid w:val="0099209D"/>
    <w:rsid w:val="00996273"/>
    <w:rsid w:val="0099748D"/>
    <w:rsid w:val="009A15C7"/>
    <w:rsid w:val="009A201A"/>
    <w:rsid w:val="009A3B82"/>
    <w:rsid w:val="009A6252"/>
    <w:rsid w:val="009C0E8B"/>
    <w:rsid w:val="009C3F01"/>
    <w:rsid w:val="009C6B00"/>
    <w:rsid w:val="009D5DC0"/>
    <w:rsid w:val="009D5E26"/>
    <w:rsid w:val="009E3C27"/>
    <w:rsid w:val="009E751E"/>
    <w:rsid w:val="009F3370"/>
    <w:rsid w:val="009F62D6"/>
    <w:rsid w:val="00A01BAB"/>
    <w:rsid w:val="00A03098"/>
    <w:rsid w:val="00A03942"/>
    <w:rsid w:val="00A13A9E"/>
    <w:rsid w:val="00A30F31"/>
    <w:rsid w:val="00A31C88"/>
    <w:rsid w:val="00A3374C"/>
    <w:rsid w:val="00A34219"/>
    <w:rsid w:val="00A43775"/>
    <w:rsid w:val="00A468FA"/>
    <w:rsid w:val="00A471E2"/>
    <w:rsid w:val="00A5081F"/>
    <w:rsid w:val="00A56E9C"/>
    <w:rsid w:val="00A656E2"/>
    <w:rsid w:val="00A6696E"/>
    <w:rsid w:val="00A751E0"/>
    <w:rsid w:val="00A84F93"/>
    <w:rsid w:val="00AB5995"/>
    <w:rsid w:val="00AC2369"/>
    <w:rsid w:val="00AD3BEF"/>
    <w:rsid w:val="00AD503F"/>
    <w:rsid w:val="00AE592C"/>
    <w:rsid w:val="00AF08FF"/>
    <w:rsid w:val="00B04AEB"/>
    <w:rsid w:val="00B106F7"/>
    <w:rsid w:val="00B26B36"/>
    <w:rsid w:val="00B4509D"/>
    <w:rsid w:val="00B5406F"/>
    <w:rsid w:val="00B66227"/>
    <w:rsid w:val="00B669BB"/>
    <w:rsid w:val="00B8740F"/>
    <w:rsid w:val="00B928C1"/>
    <w:rsid w:val="00BA22DA"/>
    <w:rsid w:val="00BA4131"/>
    <w:rsid w:val="00BA59DB"/>
    <w:rsid w:val="00BA6B70"/>
    <w:rsid w:val="00BB003F"/>
    <w:rsid w:val="00BB0117"/>
    <w:rsid w:val="00BB21A0"/>
    <w:rsid w:val="00BC2E33"/>
    <w:rsid w:val="00BE04DE"/>
    <w:rsid w:val="00BF5482"/>
    <w:rsid w:val="00BF627E"/>
    <w:rsid w:val="00BF7400"/>
    <w:rsid w:val="00C057E8"/>
    <w:rsid w:val="00C17AEE"/>
    <w:rsid w:val="00C17C51"/>
    <w:rsid w:val="00C27FA4"/>
    <w:rsid w:val="00C37A88"/>
    <w:rsid w:val="00C43617"/>
    <w:rsid w:val="00C46695"/>
    <w:rsid w:val="00C52F06"/>
    <w:rsid w:val="00C53BA1"/>
    <w:rsid w:val="00C61BBE"/>
    <w:rsid w:val="00C81C42"/>
    <w:rsid w:val="00C87923"/>
    <w:rsid w:val="00C95981"/>
    <w:rsid w:val="00C95B1E"/>
    <w:rsid w:val="00CB52BE"/>
    <w:rsid w:val="00CC2252"/>
    <w:rsid w:val="00CC45B4"/>
    <w:rsid w:val="00CD66C8"/>
    <w:rsid w:val="00CD796D"/>
    <w:rsid w:val="00CE3D7E"/>
    <w:rsid w:val="00CE54C3"/>
    <w:rsid w:val="00CF23B0"/>
    <w:rsid w:val="00CF2446"/>
    <w:rsid w:val="00D04376"/>
    <w:rsid w:val="00D05ECC"/>
    <w:rsid w:val="00D105A7"/>
    <w:rsid w:val="00D11F83"/>
    <w:rsid w:val="00D222C0"/>
    <w:rsid w:val="00D26832"/>
    <w:rsid w:val="00D27F59"/>
    <w:rsid w:val="00D44251"/>
    <w:rsid w:val="00D44A97"/>
    <w:rsid w:val="00D55134"/>
    <w:rsid w:val="00D570B3"/>
    <w:rsid w:val="00D73AC4"/>
    <w:rsid w:val="00D743FA"/>
    <w:rsid w:val="00D77D94"/>
    <w:rsid w:val="00D90079"/>
    <w:rsid w:val="00D91F5B"/>
    <w:rsid w:val="00D945F3"/>
    <w:rsid w:val="00DA544D"/>
    <w:rsid w:val="00DA7067"/>
    <w:rsid w:val="00DB7FB4"/>
    <w:rsid w:val="00DC09FA"/>
    <w:rsid w:val="00DC774B"/>
    <w:rsid w:val="00DF692E"/>
    <w:rsid w:val="00DF784B"/>
    <w:rsid w:val="00E05E2E"/>
    <w:rsid w:val="00E1375B"/>
    <w:rsid w:val="00E15F46"/>
    <w:rsid w:val="00E23C72"/>
    <w:rsid w:val="00E240D6"/>
    <w:rsid w:val="00E27E4C"/>
    <w:rsid w:val="00E3268E"/>
    <w:rsid w:val="00E3370A"/>
    <w:rsid w:val="00E43622"/>
    <w:rsid w:val="00E44CBB"/>
    <w:rsid w:val="00E457B7"/>
    <w:rsid w:val="00E4799F"/>
    <w:rsid w:val="00E54783"/>
    <w:rsid w:val="00E5672E"/>
    <w:rsid w:val="00E60525"/>
    <w:rsid w:val="00E702D6"/>
    <w:rsid w:val="00E71027"/>
    <w:rsid w:val="00E714A9"/>
    <w:rsid w:val="00E75E92"/>
    <w:rsid w:val="00E76D50"/>
    <w:rsid w:val="00E770C5"/>
    <w:rsid w:val="00E820FF"/>
    <w:rsid w:val="00E84429"/>
    <w:rsid w:val="00E87B1F"/>
    <w:rsid w:val="00E92BB7"/>
    <w:rsid w:val="00EA11D1"/>
    <w:rsid w:val="00EB1158"/>
    <w:rsid w:val="00EB1F4C"/>
    <w:rsid w:val="00EC3B1A"/>
    <w:rsid w:val="00EC742A"/>
    <w:rsid w:val="00ED7C2A"/>
    <w:rsid w:val="00EE3266"/>
    <w:rsid w:val="00EE3405"/>
    <w:rsid w:val="00EE63E3"/>
    <w:rsid w:val="00EE7910"/>
    <w:rsid w:val="00EF1B88"/>
    <w:rsid w:val="00EF578D"/>
    <w:rsid w:val="00F01E89"/>
    <w:rsid w:val="00F02354"/>
    <w:rsid w:val="00F055AE"/>
    <w:rsid w:val="00F05FE9"/>
    <w:rsid w:val="00F10420"/>
    <w:rsid w:val="00F14B00"/>
    <w:rsid w:val="00F23FF0"/>
    <w:rsid w:val="00F3480E"/>
    <w:rsid w:val="00F423A8"/>
    <w:rsid w:val="00F45960"/>
    <w:rsid w:val="00F46B02"/>
    <w:rsid w:val="00F47F4F"/>
    <w:rsid w:val="00F53A4B"/>
    <w:rsid w:val="00F60754"/>
    <w:rsid w:val="00F633FE"/>
    <w:rsid w:val="00F64E0C"/>
    <w:rsid w:val="00F762A5"/>
    <w:rsid w:val="00F8564F"/>
    <w:rsid w:val="00F918EC"/>
    <w:rsid w:val="00F95DDD"/>
    <w:rsid w:val="00FA4CAA"/>
    <w:rsid w:val="00FB6FDE"/>
    <w:rsid w:val="00FD19E3"/>
    <w:rsid w:val="00FE232D"/>
    <w:rsid w:val="00FE2832"/>
    <w:rsid w:val="00FE6C56"/>
    <w:rsid w:val="00FE71DE"/>
    <w:rsid w:val="00FE7B80"/>
    <w:rsid w:val="00FF0F54"/>
    <w:rsid w:val="043833BC"/>
    <w:rsid w:val="066A3FC1"/>
    <w:rsid w:val="07AC7358"/>
    <w:rsid w:val="07F15700"/>
    <w:rsid w:val="07F742BB"/>
    <w:rsid w:val="0A0921A0"/>
    <w:rsid w:val="0F0D1B32"/>
    <w:rsid w:val="105972F1"/>
    <w:rsid w:val="11C75D80"/>
    <w:rsid w:val="13A936E1"/>
    <w:rsid w:val="14991C55"/>
    <w:rsid w:val="14EA72A0"/>
    <w:rsid w:val="154412FE"/>
    <w:rsid w:val="161A3BAF"/>
    <w:rsid w:val="177C13BA"/>
    <w:rsid w:val="17E30238"/>
    <w:rsid w:val="196D4B78"/>
    <w:rsid w:val="19F60323"/>
    <w:rsid w:val="1AD741A9"/>
    <w:rsid w:val="1AF63286"/>
    <w:rsid w:val="1C4A5E6A"/>
    <w:rsid w:val="1D942DAA"/>
    <w:rsid w:val="1E5B1F68"/>
    <w:rsid w:val="200A3A07"/>
    <w:rsid w:val="217A4BBD"/>
    <w:rsid w:val="217C6D52"/>
    <w:rsid w:val="22EE7610"/>
    <w:rsid w:val="23024DDE"/>
    <w:rsid w:val="2418246B"/>
    <w:rsid w:val="25346D88"/>
    <w:rsid w:val="26AE115F"/>
    <w:rsid w:val="2748239B"/>
    <w:rsid w:val="28C35AC7"/>
    <w:rsid w:val="2AD450BA"/>
    <w:rsid w:val="2F990BC1"/>
    <w:rsid w:val="2FF64619"/>
    <w:rsid w:val="36E611C5"/>
    <w:rsid w:val="38F6090B"/>
    <w:rsid w:val="39BFBEB0"/>
    <w:rsid w:val="39F72585"/>
    <w:rsid w:val="3A5F274A"/>
    <w:rsid w:val="3D874491"/>
    <w:rsid w:val="3FD994FC"/>
    <w:rsid w:val="3FED6871"/>
    <w:rsid w:val="425A7B76"/>
    <w:rsid w:val="43916C8F"/>
    <w:rsid w:val="445D50E7"/>
    <w:rsid w:val="46EF6D38"/>
    <w:rsid w:val="47D5195D"/>
    <w:rsid w:val="492D7B43"/>
    <w:rsid w:val="499021B1"/>
    <w:rsid w:val="4B6978CC"/>
    <w:rsid w:val="4B9B79DE"/>
    <w:rsid w:val="4D9E1AAF"/>
    <w:rsid w:val="4FDF0A63"/>
    <w:rsid w:val="4FFF5A31"/>
    <w:rsid w:val="50D128FB"/>
    <w:rsid w:val="51842EFD"/>
    <w:rsid w:val="52230C6B"/>
    <w:rsid w:val="54CA015C"/>
    <w:rsid w:val="5770773F"/>
    <w:rsid w:val="584530CD"/>
    <w:rsid w:val="588C16BF"/>
    <w:rsid w:val="58D14B8B"/>
    <w:rsid w:val="59815DE1"/>
    <w:rsid w:val="598E5D1F"/>
    <w:rsid w:val="59D81B5C"/>
    <w:rsid w:val="5B386773"/>
    <w:rsid w:val="5B7431C4"/>
    <w:rsid w:val="5BB74ED6"/>
    <w:rsid w:val="5C6C712F"/>
    <w:rsid w:val="5CBD6807"/>
    <w:rsid w:val="5D9472EA"/>
    <w:rsid w:val="5DC51DE0"/>
    <w:rsid w:val="5E4B7185"/>
    <w:rsid w:val="5F2B3635"/>
    <w:rsid w:val="5FEAEC69"/>
    <w:rsid w:val="6067296D"/>
    <w:rsid w:val="60FC05E6"/>
    <w:rsid w:val="651F7556"/>
    <w:rsid w:val="6A580E3E"/>
    <w:rsid w:val="6A5D9906"/>
    <w:rsid w:val="6B8A6D77"/>
    <w:rsid w:val="6CDC062C"/>
    <w:rsid w:val="6FF7760D"/>
    <w:rsid w:val="70ED5B33"/>
    <w:rsid w:val="72FF06FF"/>
    <w:rsid w:val="73223D39"/>
    <w:rsid w:val="75FD24C5"/>
    <w:rsid w:val="761B064C"/>
    <w:rsid w:val="76F16B6A"/>
    <w:rsid w:val="798F6139"/>
    <w:rsid w:val="7AED903C"/>
    <w:rsid w:val="7CF5DAB8"/>
    <w:rsid w:val="7DBD2FDC"/>
    <w:rsid w:val="7E3B775F"/>
    <w:rsid w:val="7EFE33BC"/>
    <w:rsid w:val="7F5FE183"/>
    <w:rsid w:val="7FCA378E"/>
    <w:rsid w:val="7FDFA5F4"/>
    <w:rsid w:val="7FF5FC16"/>
    <w:rsid w:val="7FFB8904"/>
    <w:rsid w:val="7FFBD55B"/>
    <w:rsid w:val="8FEFE784"/>
    <w:rsid w:val="D3E7C750"/>
    <w:rsid w:val="DBF71CB4"/>
    <w:rsid w:val="DE7FA78C"/>
    <w:rsid w:val="EFA7C74A"/>
    <w:rsid w:val="F7FF24E4"/>
    <w:rsid w:val="FB3F6B90"/>
    <w:rsid w:val="FC7FA609"/>
    <w:rsid w:val="FCCF0E74"/>
    <w:rsid w:val="FDF7EF3A"/>
    <w:rsid w:val="FF6FF9FE"/>
    <w:rsid w:val="FF7773D8"/>
    <w:rsid w:val="FFB66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autoRedefine/>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firstLineChars="200"/>
    </w:pPr>
  </w:style>
  <w:style w:type="paragraph" w:styleId="6">
    <w:name w:val="annotation text"/>
    <w:basedOn w:val="1"/>
    <w:link w:val="29"/>
    <w:unhideWhenUsed/>
    <w:qFormat/>
    <w:uiPriority w:val="99"/>
    <w:pPr>
      <w:jc w:val="left"/>
    </w:pPr>
  </w:style>
  <w:style w:type="paragraph" w:styleId="7">
    <w:name w:val="Body Text"/>
    <w:basedOn w:val="1"/>
    <w:link w:val="48"/>
    <w:autoRedefine/>
    <w:unhideWhenUsed/>
    <w:qFormat/>
    <w:uiPriority w:val="99"/>
    <w:pPr>
      <w:spacing w:after="120"/>
    </w:pPr>
    <w:rPr>
      <w:kern w:val="0"/>
      <w:sz w:val="24"/>
    </w:rPr>
  </w:style>
  <w:style w:type="paragraph" w:styleId="8">
    <w:name w:val="Block Text"/>
    <w:basedOn w:val="1"/>
    <w:autoRedefine/>
    <w:qFormat/>
    <w:uiPriority w:val="0"/>
    <w:pPr>
      <w:spacing w:line="360" w:lineRule="auto"/>
    </w:pPr>
  </w:style>
  <w:style w:type="paragraph" w:styleId="9">
    <w:name w:val="index 4"/>
    <w:basedOn w:val="1"/>
    <w:next w:val="1"/>
    <w:autoRedefine/>
    <w:unhideWhenUsed/>
    <w:qFormat/>
    <w:uiPriority w:val="99"/>
    <w:pPr>
      <w:ind w:left="600" w:leftChars="600"/>
    </w:pPr>
  </w:style>
  <w:style w:type="paragraph" w:styleId="10">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0"/>
    <w:autoRedefine/>
    <w:qFormat/>
    <w:uiPriority w:val="0"/>
    <w:rPr>
      <w:rFonts w:ascii="宋体" w:hAnsi="Courier New" w:eastAsiaTheme="minorEastAsia" w:cstheme="minorBidi"/>
      <w:szCs w:val="22"/>
    </w:rPr>
  </w:style>
  <w:style w:type="paragraph" w:styleId="12">
    <w:name w:val="Date"/>
    <w:basedOn w:val="1"/>
    <w:next w:val="1"/>
    <w:link w:val="31"/>
    <w:autoRedefine/>
    <w:qFormat/>
    <w:uiPriority w:val="0"/>
    <w:pPr>
      <w:adjustRightInd w:val="0"/>
      <w:spacing w:line="360" w:lineRule="atLeast"/>
      <w:textAlignment w:val="baseline"/>
    </w:pPr>
    <w:rPr>
      <w:rFonts w:ascii="宋体" w:cs="宋体"/>
      <w:kern w:val="0"/>
      <w:sz w:val="24"/>
      <w:szCs w:val="24"/>
    </w:rPr>
  </w:style>
  <w:style w:type="paragraph" w:styleId="13">
    <w:name w:val="Balloon Text"/>
    <w:basedOn w:val="1"/>
    <w:link w:val="32"/>
    <w:autoRedefine/>
    <w:unhideWhenUsed/>
    <w:qFormat/>
    <w:uiPriority w:val="99"/>
    <w:rPr>
      <w:sz w:val="18"/>
      <w:szCs w:val="18"/>
    </w:rPr>
  </w:style>
  <w:style w:type="paragraph" w:styleId="14">
    <w:name w:val="footer"/>
    <w:basedOn w:val="1"/>
    <w:link w:val="33"/>
    <w:autoRedefine/>
    <w:unhideWhenUsed/>
    <w:qFormat/>
    <w:uiPriority w:val="99"/>
    <w:pPr>
      <w:tabs>
        <w:tab w:val="center" w:pos="4153"/>
        <w:tab w:val="right" w:pos="8306"/>
      </w:tabs>
      <w:snapToGrid w:val="0"/>
      <w:jc w:val="left"/>
    </w:pPr>
    <w:rPr>
      <w:sz w:val="18"/>
      <w:szCs w:val="18"/>
    </w:rPr>
  </w:style>
  <w:style w:type="paragraph" w:styleId="15">
    <w:name w:val="header"/>
    <w:basedOn w:val="1"/>
    <w:link w:val="3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Body Text 2"/>
    <w:basedOn w:val="1"/>
    <w:link w:val="35"/>
    <w:autoRedefine/>
    <w:qFormat/>
    <w:uiPriority w:val="0"/>
    <w:pPr>
      <w:spacing w:after="120" w:line="480" w:lineRule="auto"/>
    </w:p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6"/>
    <w:next w:val="6"/>
    <w:link w:val="36"/>
    <w:autoRedefine/>
    <w:unhideWhenUsed/>
    <w:qFormat/>
    <w:uiPriority w:val="99"/>
    <w:rPr>
      <w:b/>
      <w:bCs/>
    </w:r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autoRedefine/>
    <w:unhideWhenUsed/>
    <w:qFormat/>
    <w:uiPriority w:val="99"/>
    <w:rPr>
      <w:color w:val="0000FF" w:themeColor="hyperlink"/>
      <w:u w:val="single"/>
      <w14:textFill>
        <w14:solidFill>
          <w14:schemeClr w14:val="hlink"/>
        </w14:solidFill>
      </w14:textFill>
    </w:rPr>
  </w:style>
  <w:style w:type="character" w:styleId="25">
    <w:name w:val="annotation reference"/>
    <w:basedOn w:val="23"/>
    <w:autoRedefine/>
    <w:unhideWhenUsed/>
    <w:qFormat/>
    <w:uiPriority w:val="99"/>
    <w:rPr>
      <w:sz w:val="21"/>
      <w:szCs w:val="21"/>
    </w:rPr>
  </w:style>
  <w:style w:type="character" w:customStyle="1" w:styleId="26">
    <w:name w:val="标题 2 字符"/>
    <w:basedOn w:val="23"/>
    <w:link w:val="3"/>
    <w:autoRedefine/>
    <w:qFormat/>
    <w:uiPriority w:val="0"/>
    <w:rPr>
      <w:rFonts w:ascii="Arial" w:hAnsi="Arial" w:eastAsia="黑体" w:cs="Arial"/>
      <w:b/>
      <w:bCs/>
      <w:sz w:val="32"/>
      <w:szCs w:val="32"/>
    </w:rPr>
  </w:style>
  <w:style w:type="paragraph" w:customStyle="1" w:styleId="27">
    <w:name w:val="首行缩进"/>
    <w:basedOn w:val="1"/>
    <w:autoRedefine/>
    <w:qFormat/>
    <w:uiPriority w:val="0"/>
    <w:pPr>
      <w:ind w:firstLine="480" w:firstLineChars="200"/>
    </w:pPr>
    <w:rPr>
      <w:rFonts w:ascii="Calibri" w:hAnsi="Calibri"/>
      <w:szCs w:val="20"/>
      <w:lang w:val="zh-CN"/>
    </w:rPr>
  </w:style>
  <w:style w:type="character" w:customStyle="1" w:styleId="28">
    <w:name w:val="标题 1 字符"/>
    <w:basedOn w:val="23"/>
    <w:link w:val="2"/>
    <w:autoRedefine/>
    <w:qFormat/>
    <w:uiPriority w:val="9"/>
    <w:rPr>
      <w:rFonts w:ascii="Times New Roman" w:hAnsi="Times New Roman" w:eastAsia="宋体" w:cs="Times New Roman"/>
      <w:b/>
      <w:bCs/>
      <w:kern w:val="44"/>
      <w:sz w:val="44"/>
      <w:szCs w:val="44"/>
    </w:rPr>
  </w:style>
  <w:style w:type="character" w:customStyle="1" w:styleId="29">
    <w:name w:val="批注文字 字符"/>
    <w:basedOn w:val="23"/>
    <w:link w:val="6"/>
    <w:autoRedefine/>
    <w:semiHidden/>
    <w:qFormat/>
    <w:uiPriority w:val="99"/>
    <w:rPr>
      <w:rFonts w:ascii="Times New Roman" w:hAnsi="Times New Roman" w:eastAsia="宋体" w:cs="Times New Roman"/>
      <w:szCs w:val="21"/>
    </w:rPr>
  </w:style>
  <w:style w:type="character" w:customStyle="1" w:styleId="30">
    <w:name w:val="纯文本 字符1"/>
    <w:basedOn w:val="23"/>
    <w:link w:val="11"/>
    <w:autoRedefine/>
    <w:qFormat/>
    <w:uiPriority w:val="0"/>
    <w:rPr>
      <w:rFonts w:ascii="宋体" w:hAnsi="Courier New"/>
    </w:rPr>
  </w:style>
  <w:style w:type="character" w:customStyle="1" w:styleId="31">
    <w:name w:val="日期 字符"/>
    <w:basedOn w:val="23"/>
    <w:link w:val="12"/>
    <w:autoRedefine/>
    <w:qFormat/>
    <w:uiPriority w:val="0"/>
    <w:rPr>
      <w:rFonts w:ascii="宋体" w:hAnsi="Times New Roman" w:eastAsia="宋体" w:cs="宋体"/>
      <w:kern w:val="0"/>
      <w:sz w:val="24"/>
      <w:szCs w:val="24"/>
    </w:rPr>
  </w:style>
  <w:style w:type="character" w:customStyle="1" w:styleId="32">
    <w:name w:val="批注框文本 字符"/>
    <w:basedOn w:val="23"/>
    <w:link w:val="13"/>
    <w:autoRedefine/>
    <w:semiHidden/>
    <w:qFormat/>
    <w:uiPriority w:val="99"/>
    <w:rPr>
      <w:rFonts w:ascii="Times New Roman" w:hAnsi="Times New Roman" w:eastAsia="宋体" w:cs="Times New Roman"/>
      <w:sz w:val="18"/>
      <w:szCs w:val="18"/>
    </w:rPr>
  </w:style>
  <w:style w:type="character" w:customStyle="1" w:styleId="33">
    <w:name w:val="页脚 字符"/>
    <w:basedOn w:val="23"/>
    <w:link w:val="14"/>
    <w:autoRedefine/>
    <w:qFormat/>
    <w:uiPriority w:val="99"/>
    <w:rPr>
      <w:sz w:val="18"/>
      <w:szCs w:val="18"/>
    </w:rPr>
  </w:style>
  <w:style w:type="character" w:customStyle="1" w:styleId="34">
    <w:name w:val="页眉 字符"/>
    <w:basedOn w:val="23"/>
    <w:link w:val="15"/>
    <w:autoRedefine/>
    <w:qFormat/>
    <w:uiPriority w:val="99"/>
    <w:rPr>
      <w:sz w:val="18"/>
      <w:szCs w:val="18"/>
    </w:rPr>
  </w:style>
  <w:style w:type="character" w:customStyle="1" w:styleId="35">
    <w:name w:val="正文文本 2 字符"/>
    <w:basedOn w:val="23"/>
    <w:link w:val="18"/>
    <w:autoRedefine/>
    <w:qFormat/>
    <w:uiPriority w:val="0"/>
    <w:rPr>
      <w:rFonts w:ascii="Times New Roman" w:hAnsi="Times New Roman" w:eastAsia="宋体" w:cs="Times New Roman"/>
      <w:szCs w:val="21"/>
    </w:rPr>
  </w:style>
  <w:style w:type="character" w:customStyle="1" w:styleId="36">
    <w:name w:val="批注主题 字符"/>
    <w:basedOn w:val="29"/>
    <w:link w:val="20"/>
    <w:autoRedefine/>
    <w:semiHidden/>
    <w:qFormat/>
    <w:uiPriority w:val="99"/>
    <w:rPr>
      <w:rFonts w:ascii="Times New Roman" w:hAnsi="Times New Roman" w:eastAsia="宋体" w:cs="Times New Roman"/>
      <w:b/>
      <w:bCs/>
      <w:szCs w:val="21"/>
    </w:rPr>
  </w:style>
  <w:style w:type="character" w:customStyle="1" w:styleId="37">
    <w:name w:val="纯文本 字符"/>
    <w:basedOn w:val="23"/>
    <w:autoRedefine/>
    <w:semiHidden/>
    <w:qFormat/>
    <w:uiPriority w:val="99"/>
    <w:rPr>
      <w:rFonts w:hAnsi="Courier New" w:cs="Courier New" w:asciiTheme="minorEastAsia"/>
      <w:szCs w:val="21"/>
    </w:rPr>
  </w:style>
  <w:style w:type="paragraph" w:customStyle="1" w:styleId="38">
    <w:name w:val="列出段落1"/>
    <w:basedOn w:val="1"/>
    <w:autoRedefine/>
    <w:qFormat/>
    <w:uiPriority w:val="34"/>
    <w:pPr>
      <w:ind w:firstLine="420" w:firstLineChars="200"/>
    </w:pPr>
  </w:style>
  <w:style w:type="paragraph" w:customStyle="1" w:styleId="39">
    <w:name w:val="修订1"/>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3"/>
    <w:autoRedefine/>
    <w:qFormat/>
    <w:uiPriority w:val="0"/>
  </w:style>
  <w:style w:type="paragraph" w:customStyle="1" w:styleId="43">
    <w:name w:val="列出段落2"/>
    <w:basedOn w:val="1"/>
    <w:autoRedefine/>
    <w:qFormat/>
    <w:uiPriority w:val="34"/>
    <w:pPr>
      <w:ind w:firstLine="420" w:firstLineChars="200"/>
    </w:pPr>
    <w:rPr>
      <w:rFonts w:ascii="Calibri" w:hAnsi="Calibri"/>
    </w:rPr>
  </w:style>
  <w:style w:type="paragraph" w:customStyle="1" w:styleId="44">
    <w:name w:val="Table Paragraph"/>
    <w:basedOn w:val="1"/>
    <w:autoRedefine/>
    <w:qFormat/>
    <w:uiPriority w:val="1"/>
  </w:style>
  <w:style w:type="paragraph" w:customStyle="1" w:styleId="45">
    <w:name w:val="修订2"/>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46">
    <w:name w:val="修订3"/>
    <w:autoRedefine/>
    <w:hidden/>
    <w:semiHidden/>
    <w:qFormat/>
    <w:uiPriority w:val="99"/>
    <w:rPr>
      <w:rFonts w:ascii="Times New Roman" w:hAnsi="Times New Roman" w:eastAsia="宋体" w:cs="Times New Roman"/>
      <w:kern w:val="2"/>
      <w:sz w:val="21"/>
      <w:szCs w:val="21"/>
      <w:lang w:val="en-US" w:eastAsia="zh-CN" w:bidi="ar-SA"/>
    </w:rPr>
  </w:style>
  <w:style w:type="paragraph" w:styleId="47">
    <w:name w:val="List Paragraph"/>
    <w:basedOn w:val="1"/>
    <w:autoRedefine/>
    <w:qFormat/>
    <w:uiPriority w:val="99"/>
    <w:pPr>
      <w:ind w:firstLine="420" w:firstLineChars="200"/>
    </w:pPr>
  </w:style>
  <w:style w:type="character" w:customStyle="1" w:styleId="48">
    <w:name w:val="正文文本 字符"/>
    <w:basedOn w:val="23"/>
    <w:link w:val="7"/>
    <w:autoRedefine/>
    <w:qFormat/>
    <w:uiPriority w:val="99"/>
    <w:rPr>
      <w:rFonts w:ascii="Times New Roman" w:hAnsi="Times New Roman" w:eastAsia="宋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19</Pages>
  <Words>5959</Words>
  <Characters>6102</Characters>
  <Lines>55</Lines>
  <Paragraphs>15</Paragraphs>
  <TotalTime>1</TotalTime>
  <ScaleCrop>false</ScaleCrop>
  <LinksUpToDate>false</LinksUpToDate>
  <CharactersWithSpaces>6471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2025-08-06T08:09:00Z</dcterms:created>
  <dc:creator>赵璧</dc:creator>
  <cp:lastModifiedBy>汪娜</cp:lastModifiedBy>
  <cp:lastPrinted>2023-08-18T00:07:00Z</cp:lastPrinted>
  <dcterms:modified xsi:type="dcterms:W3CDTF">2025-08-14T02:19:23Z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4A475ACEF6DB426F89349EB17AAF506C_13</vt:lpwstr>
  </property>
  <property fmtid="{D5CDD505-2E9C-101B-9397-08002B2CF9AE}" pid="4" name="KSOTemplateDocerSaveRecord">
    <vt:lpwstr>eyJoZGlkIjoiOTQzNTUwZWU1YmYyYzU5Yjk2NmIzMWNlZGVkMTZlOWEiLCJ1c2VySWQiOiI1MzgyMzk2ODAifQ==</vt:lpwstr>
  </property>
</Properties>
</file>