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461B3">
      <w:pPr>
        <w:spacing w:line="360" w:lineRule="auto"/>
        <w:jc w:val="center"/>
        <w:rPr>
          <w:rFonts w:eastAsia="黑体"/>
          <w:b/>
          <w:bCs/>
          <w:sz w:val="52"/>
          <w:szCs w:val="36"/>
        </w:rPr>
      </w:pPr>
      <w:r>
        <w:rPr>
          <w:rFonts w:ascii="华文中宋" w:hAnsi="华文中宋" w:eastAsia="华文中宋"/>
          <w:sz w:val="40"/>
        </w:rPr>
        <w:tab/>
      </w:r>
    </w:p>
    <w:p w14:paraId="386BD6E1">
      <w:pPr>
        <w:spacing w:line="360" w:lineRule="auto"/>
        <w:jc w:val="center"/>
        <w:rPr>
          <w:sz w:val="44"/>
          <w:szCs w:val="28"/>
        </w:rPr>
      </w:pPr>
      <w:r>
        <w:rPr>
          <w:rFonts w:hint="eastAsia" w:eastAsia="黑体"/>
          <w:b/>
          <w:bCs/>
          <w:sz w:val="52"/>
          <w:szCs w:val="36"/>
        </w:rPr>
        <w:t>南京市智慧疾控功能性能测试和数据密码风险评估服务</w:t>
      </w:r>
    </w:p>
    <w:p w14:paraId="269119DD">
      <w:pPr>
        <w:spacing w:line="360" w:lineRule="auto"/>
        <w:jc w:val="center"/>
        <w:rPr>
          <w:sz w:val="28"/>
          <w:szCs w:val="28"/>
        </w:rPr>
      </w:pPr>
    </w:p>
    <w:p w14:paraId="4317C18D">
      <w:pPr>
        <w:spacing w:line="360" w:lineRule="auto"/>
        <w:jc w:val="center"/>
        <w:rPr>
          <w:sz w:val="24"/>
        </w:rPr>
      </w:pPr>
    </w:p>
    <w:p w14:paraId="3BDBF36A">
      <w:pPr>
        <w:spacing w:line="360" w:lineRule="auto"/>
        <w:jc w:val="center"/>
        <w:rPr>
          <w:sz w:val="24"/>
        </w:rPr>
      </w:pPr>
    </w:p>
    <w:p w14:paraId="053FC510">
      <w:pPr>
        <w:spacing w:line="360" w:lineRule="auto"/>
        <w:rPr>
          <w:sz w:val="24"/>
        </w:rPr>
      </w:pPr>
    </w:p>
    <w:p w14:paraId="0243FB7A">
      <w:pPr>
        <w:spacing w:line="360" w:lineRule="auto"/>
        <w:rPr>
          <w:sz w:val="24"/>
        </w:rPr>
      </w:pPr>
    </w:p>
    <w:p w14:paraId="3F265FF5">
      <w:pPr>
        <w:spacing w:line="360" w:lineRule="auto"/>
        <w:jc w:val="center"/>
        <w:rPr>
          <w:sz w:val="24"/>
        </w:rPr>
      </w:pPr>
    </w:p>
    <w:p w14:paraId="3714667E">
      <w:pPr>
        <w:spacing w:line="360" w:lineRule="auto"/>
        <w:jc w:val="center"/>
        <w:rPr>
          <w:sz w:val="24"/>
        </w:rPr>
      </w:pPr>
    </w:p>
    <w:p w14:paraId="582BF3BC">
      <w:pPr>
        <w:spacing w:line="360" w:lineRule="auto"/>
        <w:jc w:val="center"/>
        <w:rPr>
          <w:sz w:val="24"/>
        </w:rPr>
      </w:pPr>
    </w:p>
    <w:p w14:paraId="5E70E75C">
      <w:pPr>
        <w:spacing w:line="360" w:lineRule="auto"/>
        <w:jc w:val="center"/>
        <w:rPr>
          <w:sz w:val="24"/>
        </w:rPr>
      </w:pPr>
    </w:p>
    <w:p w14:paraId="4F973450">
      <w:pPr>
        <w:spacing w:line="360" w:lineRule="auto"/>
        <w:jc w:val="center"/>
        <w:rPr>
          <w:sz w:val="24"/>
        </w:rPr>
      </w:pPr>
    </w:p>
    <w:p w14:paraId="321652AC">
      <w:pPr>
        <w:spacing w:line="360" w:lineRule="auto"/>
        <w:jc w:val="center"/>
        <w:rPr>
          <w:sz w:val="28"/>
          <w:szCs w:val="28"/>
        </w:rPr>
      </w:pPr>
    </w:p>
    <w:p w14:paraId="369FEA5D">
      <w:pPr>
        <w:spacing w:line="360" w:lineRule="auto"/>
        <w:jc w:val="center"/>
        <w:rPr>
          <w:sz w:val="28"/>
          <w:szCs w:val="28"/>
        </w:rPr>
      </w:pPr>
      <w:r>
        <w:rPr>
          <w:rFonts w:hAnsiTheme="minorEastAsia"/>
          <w:sz w:val="28"/>
          <w:szCs w:val="28"/>
        </w:rPr>
        <w:t>招标文件</w:t>
      </w:r>
    </w:p>
    <w:p w14:paraId="316D01A6">
      <w:pPr>
        <w:spacing w:line="360" w:lineRule="auto"/>
        <w:jc w:val="center"/>
        <w:rPr>
          <w:sz w:val="28"/>
          <w:szCs w:val="28"/>
        </w:rPr>
      </w:pPr>
    </w:p>
    <w:p w14:paraId="3A71430E">
      <w:pPr>
        <w:spacing w:line="360" w:lineRule="auto"/>
        <w:jc w:val="center"/>
        <w:rPr>
          <w:sz w:val="28"/>
          <w:szCs w:val="28"/>
        </w:rPr>
      </w:pPr>
    </w:p>
    <w:p w14:paraId="259687E4">
      <w:pPr>
        <w:spacing w:line="360" w:lineRule="auto"/>
        <w:rPr>
          <w:sz w:val="24"/>
        </w:rPr>
      </w:pPr>
    </w:p>
    <w:p w14:paraId="6F62BB6E">
      <w:pPr>
        <w:spacing w:line="360" w:lineRule="auto"/>
        <w:jc w:val="center"/>
        <w:rPr>
          <w:sz w:val="28"/>
          <w:szCs w:val="28"/>
        </w:rPr>
      </w:pPr>
      <w:r>
        <w:rPr>
          <w:rFonts w:hAnsiTheme="minorEastAsia"/>
          <w:sz w:val="28"/>
          <w:szCs w:val="28"/>
        </w:rPr>
        <w:t>南京市疾病预防控制中心</w:t>
      </w:r>
    </w:p>
    <w:p w14:paraId="6604E050">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 xml:space="preserve"> </w:t>
      </w:r>
      <w:r>
        <w:rPr>
          <w:rFonts w:hint="eastAsia" w:hAnsiTheme="minorEastAsia"/>
          <w:sz w:val="28"/>
          <w:szCs w:val="28"/>
          <w:lang w:val="en-US" w:eastAsia="zh-CN"/>
        </w:rPr>
        <w:t>10</w:t>
      </w:r>
      <w:r>
        <w:rPr>
          <w:rFonts w:hAnsiTheme="minorEastAsia"/>
          <w:sz w:val="28"/>
          <w:szCs w:val="28"/>
        </w:rPr>
        <w:t>月</w:t>
      </w:r>
      <w:r>
        <w:rPr>
          <w:rFonts w:hint="eastAsia" w:hAnsiTheme="minorEastAsia"/>
          <w:sz w:val="28"/>
          <w:szCs w:val="28"/>
          <w:lang w:val="en-US" w:eastAsia="zh-CN"/>
        </w:rPr>
        <w:t>8</w:t>
      </w:r>
      <w:r>
        <w:rPr>
          <w:rFonts w:hAnsiTheme="minorEastAsia"/>
          <w:sz w:val="28"/>
          <w:szCs w:val="28"/>
        </w:rPr>
        <w:t>日</w:t>
      </w:r>
    </w:p>
    <w:p w14:paraId="520DD8E3">
      <w:pPr>
        <w:spacing w:line="360" w:lineRule="auto"/>
        <w:rPr>
          <w:rFonts w:ascii="华文中宋" w:hAnsi="华文中宋" w:eastAsia="华文中宋"/>
          <w:sz w:val="32"/>
        </w:rPr>
      </w:pPr>
      <w:r>
        <w:rPr>
          <w:rFonts w:hint="eastAsia" w:ascii="华文中宋" w:hAnsi="华文中宋" w:eastAsia="华文中宋"/>
          <w:sz w:val="32"/>
        </w:rPr>
        <w:br w:type="page"/>
      </w:r>
    </w:p>
    <w:p w14:paraId="3E73044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AF1A355">
      <w:pPr>
        <w:spacing w:line="360" w:lineRule="auto"/>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南京市智慧疾控功能性能测试和数据密码风险评估服务</w:t>
      </w:r>
      <w:r>
        <w:rPr>
          <w:rFonts w:ascii="仿宋" w:hAnsi="仿宋" w:eastAsia="仿宋"/>
          <w:sz w:val="24"/>
          <w:szCs w:val="28"/>
        </w:rPr>
        <w:t>开展</w:t>
      </w:r>
      <w:r>
        <w:rPr>
          <w:rFonts w:hint="eastAsia" w:ascii="仿宋" w:hAnsi="仿宋" w:eastAsia="仿宋"/>
          <w:sz w:val="24"/>
          <w:szCs w:val="28"/>
          <w:lang w:val="en-US" w:eastAsia="zh-CN"/>
        </w:rPr>
        <w:t>内部</w:t>
      </w:r>
      <w:r>
        <w:rPr>
          <w:rFonts w:ascii="仿宋" w:hAnsi="仿宋" w:eastAsia="仿宋"/>
          <w:sz w:val="24"/>
          <w:szCs w:val="28"/>
        </w:rPr>
        <w:t>招标</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2B8A7C32">
      <w:pPr>
        <w:tabs>
          <w:tab w:val="left" w:pos="0"/>
          <w:tab w:val="left" w:pos="3165"/>
          <w:tab w:val="center" w:pos="4153"/>
        </w:tabs>
        <w:autoSpaceDE w:val="0"/>
        <w:autoSpaceDN w:val="0"/>
        <w:adjustRightInd w:val="0"/>
        <w:spacing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52DC79E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8"/>
        </w:rPr>
      </w:pPr>
      <w:r>
        <w:rPr>
          <w:rFonts w:hint="eastAsia" w:ascii="仿宋" w:hAnsi="仿宋" w:eastAsia="仿宋"/>
          <w:sz w:val="24"/>
          <w:szCs w:val="28"/>
        </w:rPr>
        <w:t>项目概况</w:t>
      </w:r>
    </w:p>
    <w:p w14:paraId="18994547">
      <w:pPr>
        <w:pBdr>
          <w:top w:val="single" w:color="auto" w:sz="4" w:space="1"/>
          <w:left w:val="single" w:color="auto" w:sz="4" w:space="4"/>
          <w:bottom w:val="single" w:color="auto" w:sz="4" w:space="1"/>
          <w:right w:val="single" w:color="auto" w:sz="4" w:space="4"/>
        </w:pBdr>
        <w:spacing w:line="360" w:lineRule="auto"/>
        <w:ind w:firstLine="480" w:firstLineChars="200"/>
        <w:rPr>
          <w:color w:val="000000" w:themeColor="text1"/>
          <w:sz w:val="24"/>
          <w:szCs w:val="28"/>
          <w14:textFill>
            <w14:solidFill>
              <w14:schemeClr w14:val="tx1"/>
            </w14:solidFill>
          </w14:textFill>
        </w:rPr>
      </w:pPr>
      <w:r>
        <w:rPr>
          <w:rFonts w:hint="eastAsia" w:ascii="仿宋" w:hAnsi="仿宋" w:eastAsia="仿宋"/>
          <w:sz w:val="24"/>
          <w:szCs w:val="28"/>
        </w:rPr>
        <w:t>南京市智慧疾控功能性能测试和数据密码风险评估服务招标的潜在投标人应在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10</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15</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lang w:val="en-US" w:eastAsia="zh-CN"/>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2AEB132A">
      <w:pPr>
        <w:pStyle w:val="3"/>
        <w:spacing w:before="0" w:after="0"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24CBA83D">
      <w:pPr>
        <w:spacing w:line="360" w:lineRule="auto"/>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南京市智慧疾控功能性能测试和数据密码风险评估服务</w:t>
      </w:r>
    </w:p>
    <w:p w14:paraId="3A1B1EF6">
      <w:pPr>
        <w:spacing w:line="360" w:lineRule="auto"/>
        <w:rPr>
          <w:rFonts w:ascii="仿宋" w:hAnsi="仿宋" w:eastAsia="仿宋"/>
          <w:sz w:val="24"/>
          <w:szCs w:val="28"/>
        </w:rPr>
      </w:pPr>
      <w:r>
        <w:rPr>
          <w:rFonts w:hint="eastAsia" w:ascii="仿宋" w:hAnsi="仿宋" w:eastAsia="仿宋"/>
          <w:sz w:val="24"/>
          <w:szCs w:val="28"/>
        </w:rPr>
        <w:t>采购预算：人民币</w:t>
      </w:r>
      <w:r>
        <w:rPr>
          <w:rFonts w:ascii="仿宋" w:hAnsi="仿宋" w:eastAsia="仿宋"/>
          <w:sz w:val="24"/>
          <w:szCs w:val="28"/>
        </w:rPr>
        <w:t>8.6</w:t>
      </w:r>
      <w:r>
        <w:rPr>
          <w:rFonts w:hint="eastAsia" w:ascii="仿宋" w:hAnsi="仿宋" w:eastAsia="仿宋"/>
          <w:sz w:val="24"/>
          <w:szCs w:val="28"/>
        </w:rPr>
        <w:t>万元</w:t>
      </w:r>
    </w:p>
    <w:p w14:paraId="6F824834">
      <w:pPr>
        <w:spacing w:line="360" w:lineRule="auto"/>
        <w:rPr>
          <w:rFonts w:ascii="仿宋" w:hAnsi="仿宋" w:eastAsia="仿宋"/>
          <w:sz w:val="24"/>
          <w:szCs w:val="28"/>
          <w:u w:val="single"/>
        </w:rPr>
      </w:pPr>
      <w:r>
        <w:rPr>
          <w:rFonts w:hint="eastAsia" w:ascii="仿宋" w:hAnsi="仿宋" w:eastAsia="仿宋"/>
          <w:sz w:val="24"/>
          <w:szCs w:val="28"/>
        </w:rPr>
        <w:t>采购需求：功能性能测试和数据安全风险评估服务、密码应用安全评估服务（详见需求附表）</w:t>
      </w:r>
    </w:p>
    <w:p w14:paraId="0E666177">
      <w:pPr>
        <w:widowControl/>
        <w:spacing w:line="360" w:lineRule="auto"/>
        <w:jc w:val="left"/>
        <w:rPr>
          <w:rFonts w:ascii="仿宋" w:hAnsi="仿宋" w:eastAsia="仿宋"/>
          <w:sz w:val="24"/>
          <w:szCs w:val="28"/>
          <w:highlight w:val="yellow"/>
          <w:u w:val="single"/>
        </w:rPr>
      </w:pPr>
      <w:r>
        <w:rPr>
          <w:rFonts w:hint="eastAsia" w:ascii="仿宋" w:hAnsi="仿宋" w:eastAsia="仿宋"/>
          <w:sz w:val="24"/>
          <w:szCs w:val="28"/>
        </w:rPr>
        <w:t>合同履行期限：系统满足测评条件后开始服务至出具报告。</w:t>
      </w:r>
    </w:p>
    <w:p w14:paraId="746ABE2F">
      <w:pPr>
        <w:pStyle w:val="3"/>
        <w:spacing w:before="0" w:after="0" w:line="360" w:lineRule="auto"/>
        <w:rPr>
          <w:rFonts w:ascii="黑体" w:hAnsi="黑体" w:cs="宋体"/>
          <w:b w:val="0"/>
          <w:sz w:val="24"/>
          <w:szCs w:val="28"/>
        </w:rPr>
      </w:pPr>
      <w:bookmarkStart w:id="7" w:name="_Toc35393622"/>
      <w:bookmarkStart w:id="8" w:name="_Toc35393791"/>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14:paraId="7CAC1440">
      <w:pPr>
        <w:spacing w:line="360" w:lineRule="auto"/>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5ACCB6CB">
      <w:pPr>
        <w:spacing w:line="360" w:lineRule="auto"/>
        <w:ind w:firstLine="484" w:firstLineChars="202"/>
        <w:rPr>
          <w:rFonts w:ascii="仿宋" w:hAnsi="仿宋" w:eastAsia="仿宋"/>
          <w:sz w:val="24"/>
          <w:szCs w:val="28"/>
        </w:rPr>
      </w:pPr>
      <w:bookmarkStart w:id="11" w:name="_Toc35393623"/>
      <w:bookmarkStart w:id="12" w:name="_Toc28359081"/>
      <w:bookmarkStart w:id="13" w:name="_Toc35393792"/>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14:paraId="079E0537">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（2）具有良好的商业信誉和健全的财务会计制度（提供2021年度的财务报表或财政部门认可的政府采购专业担保机构出具的投标担保函）；</w:t>
      </w:r>
    </w:p>
    <w:p w14:paraId="4B35156D">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22EF007">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447C554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52416F7D">
      <w:pPr>
        <w:pStyle w:val="3"/>
        <w:spacing w:before="0" w:after="0"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1736037D">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4FD5EADA">
      <w:pPr>
        <w:pStyle w:val="3"/>
        <w:spacing w:before="0" w:after="0"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7F128408">
      <w:pPr>
        <w:spacing w:line="360" w:lineRule="auto"/>
        <w:rPr>
          <w:rFonts w:ascii="仿宋" w:hAnsi="仿宋" w:eastAsia="仿宋" w:cs="宋体"/>
          <w:sz w:val="24"/>
          <w:szCs w:val="28"/>
        </w:rPr>
      </w:pPr>
      <w:bookmarkStart w:id="19" w:name="_Toc35393625"/>
      <w:bookmarkStart w:id="20" w:name="_Toc28359007"/>
      <w:bookmarkStart w:id="21" w:name="_Toc28359084"/>
      <w:bookmarkStart w:id="22" w:name="_Toc3539379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15</w:t>
      </w:r>
      <w:r>
        <w:rPr>
          <w:rFonts w:ascii="仿宋" w:hAnsi="仿宋" w:eastAsia="仿宋" w:cs="宋体"/>
          <w:sz w:val="24"/>
          <w:szCs w:val="28"/>
        </w:rPr>
        <w:t>日</w:t>
      </w:r>
      <w:r>
        <w:rPr>
          <w:rFonts w:hint="eastAsia" w:ascii="仿宋" w:hAnsi="仿宋" w:eastAsia="仿宋" w:cs="宋体"/>
          <w:sz w:val="24"/>
          <w:szCs w:val="28"/>
          <w:lang w:val="en-US" w:eastAsia="zh-CN"/>
        </w:rPr>
        <w:t>下午14;00-14:30</w:t>
      </w:r>
      <w:r>
        <w:rPr>
          <w:rFonts w:ascii="仿宋" w:hAnsi="仿宋" w:eastAsia="仿宋" w:cs="宋体"/>
          <w:sz w:val="24"/>
          <w:szCs w:val="28"/>
        </w:rPr>
        <w:t>；</w:t>
      </w:r>
    </w:p>
    <w:p w14:paraId="3167944D">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15</w:t>
      </w:r>
      <w:r>
        <w:rPr>
          <w:rFonts w:ascii="仿宋" w:hAnsi="仿宋" w:eastAsia="仿宋" w:cs="宋体"/>
          <w:sz w:val="24"/>
          <w:szCs w:val="28"/>
        </w:rPr>
        <w:t>日</w:t>
      </w:r>
      <w:r>
        <w:rPr>
          <w:rFonts w:hint="eastAsia" w:ascii="仿宋" w:hAnsi="仿宋" w:eastAsia="仿宋" w:cs="宋体"/>
          <w:sz w:val="24"/>
          <w:szCs w:val="28"/>
          <w:lang w:val="en-US" w:eastAsia="zh-CN"/>
        </w:rPr>
        <w:t>下午14:30</w:t>
      </w:r>
      <w:r>
        <w:rPr>
          <w:rFonts w:hint="eastAsia" w:ascii="仿宋" w:hAnsi="仿宋" w:eastAsia="仿宋" w:cs="宋体"/>
          <w:sz w:val="24"/>
          <w:szCs w:val="28"/>
        </w:rPr>
        <w:t xml:space="preserve"> </w:t>
      </w:r>
      <w:r>
        <w:rPr>
          <w:rFonts w:ascii="仿宋" w:hAnsi="仿宋" w:eastAsia="仿宋" w:cs="宋体"/>
          <w:sz w:val="24"/>
          <w:szCs w:val="28"/>
        </w:rPr>
        <w:t>；</w:t>
      </w:r>
    </w:p>
    <w:p w14:paraId="620CDE09">
      <w:pPr>
        <w:spacing w:line="360" w:lineRule="auto"/>
        <w:jc w:val="left"/>
        <w:rPr>
          <w:rFonts w:eastAsia="仿宋"/>
          <w:color w:val="0000FF"/>
          <w:sz w:val="24"/>
          <w:szCs w:val="28"/>
        </w:rPr>
      </w:pPr>
      <w:r>
        <w:rPr>
          <w:rFonts w:hint="eastAsia" w:eastAsia="仿宋"/>
          <w:sz w:val="24"/>
          <w:szCs w:val="28"/>
        </w:rPr>
        <w:t>开标地点：</w:t>
      </w:r>
      <w:r>
        <w:rPr>
          <w:rFonts w:hint="eastAsia" w:eastAsia="仿宋"/>
          <w:color w:val="0000FF"/>
          <w:sz w:val="24"/>
          <w:szCs w:val="28"/>
        </w:rPr>
        <w:t>南京市疾病预防控制中心</w:t>
      </w:r>
      <w:r>
        <w:rPr>
          <w:rFonts w:hint="eastAsia" w:eastAsia="仿宋"/>
          <w:color w:val="0000FF"/>
          <w:sz w:val="24"/>
          <w:szCs w:val="28"/>
          <w:lang w:val="en-US" w:eastAsia="zh-CN"/>
        </w:rPr>
        <w:t>2</w:t>
      </w:r>
      <w:r>
        <w:rPr>
          <w:rFonts w:hint="eastAsia" w:eastAsia="仿宋"/>
          <w:color w:val="0000FF"/>
          <w:sz w:val="24"/>
          <w:szCs w:val="28"/>
        </w:rPr>
        <w:t>楼会议室（南京市鼓楼区紫竹林</w:t>
      </w:r>
      <w:r>
        <w:rPr>
          <w:rFonts w:hint="eastAsia" w:eastAsia="仿宋"/>
          <w:color w:val="0000FF"/>
          <w:sz w:val="24"/>
          <w:szCs w:val="28"/>
          <w:lang w:val="en-US" w:eastAsia="zh-CN"/>
        </w:rPr>
        <w:t>3</w:t>
      </w:r>
      <w:r>
        <w:rPr>
          <w:rFonts w:hint="eastAsia" w:eastAsia="仿宋"/>
          <w:color w:val="0000FF"/>
          <w:sz w:val="24"/>
          <w:szCs w:val="28"/>
        </w:rPr>
        <w:t>号）。</w:t>
      </w:r>
    </w:p>
    <w:p w14:paraId="17AEFF89">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14:paraId="2B12FE9D">
      <w:pPr>
        <w:pStyle w:val="3"/>
        <w:spacing w:before="0" w:after="0"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353F8AAF">
      <w:pPr>
        <w:spacing w:line="360" w:lineRule="auto"/>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7E0A885">
      <w:pPr>
        <w:pStyle w:val="3"/>
        <w:spacing w:before="0" w:after="0"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14:paraId="53CD29E4">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0CF4684D">
      <w:pPr>
        <w:spacing w:line="360" w:lineRule="auto"/>
        <w:rPr>
          <w:rFonts w:ascii="仿宋" w:hAnsi="仿宋" w:eastAsia="仿宋" w:cs="宋体"/>
          <w:sz w:val="24"/>
          <w:szCs w:val="28"/>
        </w:rPr>
      </w:pPr>
      <w:r>
        <w:rPr>
          <w:rFonts w:ascii="仿宋" w:hAnsi="仿宋" w:eastAsia="仿宋" w:cs="宋体"/>
          <w:sz w:val="24"/>
          <w:szCs w:val="28"/>
        </w:rPr>
        <w:t>投标文件递交时应按顺序排列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2FDC6634">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427EE67E">
      <w:pPr>
        <w:pStyle w:val="3"/>
        <w:spacing w:before="0" w:after="0" w:line="360" w:lineRule="auto"/>
        <w:rPr>
          <w:rFonts w:ascii="黑体" w:hAnsi="黑体" w:cs="宋体"/>
          <w:b w:val="0"/>
          <w:sz w:val="24"/>
          <w:szCs w:val="28"/>
        </w:rPr>
      </w:pPr>
      <w:bookmarkStart w:id="25" w:name="_Toc35393796"/>
      <w:bookmarkStart w:id="26" w:name="_Toc35393627"/>
      <w:bookmarkStart w:id="27" w:name="_Toc28359085"/>
      <w:bookmarkStart w:id="28" w:name="_Toc28359008"/>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3BC559A">
      <w:pPr>
        <w:widowControl/>
        <w:spacing w:line="360" w:lineRule="auto"/>
        <w:jc w:val="left"/>
        <w:rPr>
          <w:rFonts w:hint="eastAsia" w:ascii="仿宋" w:hAnsi="仿宋" w:eastAsia="仿宋"/>
          <w:sz w:val="24"/>
          <w:szCs w:val="28"/>
          <w:u w:val="single"/>
          <w:lang w:val="en-US" w:eastAsia="zh-CN"/>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lang w:val="en-US" w:eastAsia="zh-CN"/>
        </w:rPr>
        <w:t>汪娜</w:t>
      </w:r>
      <w:r>
        <w:rPr>
          <w:rFonts w:hint="eastAsia"/>
        </w:rPr>
        <w:t xml:space="preserve">   </w:t>
      </w:r>
      <w:r>
        <w:rPr>
          <w:rFonts w:hint="eastAsia"/>
          <w:lang w:val="en-US" w:eastAsia="zh-CN"/>
        </w:rPr>
        <w:t xml:space="preserve">      </w:t>
      </w:r>
      <w:r>
        <w:rPr>
          <w:rFonts w:hint="eastAsia" w:ascii="仿宋" w:hAnsi="仿宋" w:eastAsia="仿宋"/>
          <w:sz w:val="24"/>
          <w:szCs w:val="28"/>
        </w:rPr>
        <w:t>联系方式：</w:t>
      </w:r>
      <w:bookmarkStart w:id="29" w:name="_Toc28359086"/>
      <w:bookmarkStart w:id="30" w:name="_Toc28359009"/>
      <w:r>
        <w:rPr>
          <w:rFonts w:hint="eastAsia" w:ascii="仿宋" w:hAnsi="仿宋" w:eastAsia="仿宋"/>
          <w:sz w:val="24"/>
          <w:szCs w:val="28"/>
          <w:u w:val="single"/>
          <w:lang w:val="en-US" w:eastAsia="zh-CN"/>
        </w:rPr>
        <w:t>025-83538375</w:t>
      </w:r>
    </w:p>
    <w:p w14:paraId="4F25C32A">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none"/>
          <w:lang w:val="en-US" w:eastAsia="zh-CN"/>
        </w:rPr>
        <w:t>袁元</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联系方式：</w:t>
      </w:r>
      <w:r>
        <w:rPr>
          <w:rFonts w:hint="eastAsia" w:ascii="仿宋" w:hAnsi="仿宋" w:eastAsia="仿宋"/>
          <w:sz w:val="24"/>
          <w:szCs w:val="28"/>
          <w:u w:val="single"/>
          <w:lang w:val="en-US" w:eastAsia="zh-CN"/>
        </w:rPr>
        <w:t>025-83538389</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3CD2C2CE">
      <w:pPr>
        <w:rPr>
          <w:rFonts w:ascii="华文中宋" w:hAnsi="华文中宋" w:eastAsia="华文中宋" w:cs="宋体"/>
          <w:b/>
          <w:kern w:val="0"/>
          <w:sz w:val="28"/>
          <w:szCs w:val="28"/>
        </w:rPr>
      </w:pPr>
    </w:p>
    <w:p w14:paraId="18598D60">
      <w:pPr>
        <w:widowControl/>
        <w:spacing w:line="360" w:lineRule="auto"/>
        <w:jc w:val="center"/>
        <w:outlineLvl w:val="0"/>
        <w:rPr>
          <w:rFonts w:hint="eastAsia" w:ascii="华文中宋" w:hAnsi="华文中宋" w:eastAsia="华文中宋" w:cs="宋体"/>
          <w:b/>
          <w:kern w:val="0"/>
          <w:sz w:val="28"/>
          <w:szCs w:val="28"/>
        </w:rPr>
      </w:pPr>
    </w:p>
    <w:p w14:paraId="19CB3795">
      <w:pPr>
        <w:widowControl/>
        <w:spacing w:line="360" w:lineRule="auto"/>
        <w:jc w:val="center"/>
        <w:outlineLvl w:val="0"/>
        <w:rPr>
          <w:rFonts w:hint="eastAsia" w:ascii="华文中宋" w:hAnsi="华文中宋" w:eastAsia="华文中宋" w:cs="宋体"/>
          <w:b/>
          <w:kern w:val="0"/>
          <w:sz w:val="28"/>
          <w:szCs w:val="28"/>
        </w:rPr>
      </w:pPr>
    </w:p>
    <w:p w14:paraId="7B063165">
      <w:pPr>
        <w:widowControl/>
        <w:spacing w:line="360" w:lineRule="auto"/>
        <w:jc w:val="center"/>
        <w:outlineLvl w:val="0"/>
        <w:rPr>
          <w:rFonts w:hint="eastAsia" w:ascii="华文中宋" w:hAnsi="华文中宋" w:eastAsia="华文中宋" w:cs="宋体"/>
          <w:b/>
          <w:kern w:val="0"/>
          <w:sz w:val="28"/>
          <w:szCs w:val="28"/>
        </w:rPr>
      </w:pPr>
    </w:p>
    <w:p w14:paraId="4E684A6A">
      <w:pPr>
        <w:widowControl/>
        <w:spacing w:line="360" w:lineRule="auto"/>
        <w:jc w:val="center"/>
        <w:outlineLvl w:val="0"/>
        <w:rPr>
          <w:rFonts w:hint="eastAsia" w:ascii="华文中宋" w:hAnsi="华文中宋" w:eastAsia="华文中宋" w:cs="宋体"/>
          <w:b/>
          <w:kern w:val="0"/>
          <w:sz w:val="28"/>
          <w:szCs w:val="28"/>
        </w:rPr>
      </w:pPr>
    </w:p>
    <w:p w14:paraId="0029576D">
      <w:pPr>
        <w:widowControl/>
        <w:spacing w:line="360" w:lineRule="auto"/>
        <w:jc w:val="center"/>
        <w:outlineLvl w:val="0"/>
        <w:rPr>
          <w:rFonts w:hint="eastAsia" w:ascii="华文中宋" w:hAnsi="华文中宋" w:eastAsia="华文中宋" w:cs="宋体"/>
          <w:b/>
          <w:kern w:val="0"/>
          <w:sz w:val="28"/>
          <w:szCs w:val="28"/>
        </w:rPr>
      </w:pPr>
    </w:p>
    <w:p w14:paraId="2478420E">
      <w:pPr>
        <w:widowControl/>
        <w:spacing w:line="360" w:lineRule="auto"/>
        <w:jc w:val="center"/>
        <w:outlineLvl w:val="0"/>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14:paraId="36C2D2E5">
      <w:pPr>
        <w:widowControl/>
        <w:spacing w:line="360" w:lineRule="auto"/>
        <w:jc w:val="center"/>
        <w:rPr>
          <w:rFonts w:ascii="仿宋" w:hAnsi="仿宋" w:eastAsia="仿宋" w:cs="宋体"/>
          <w:kern w:val="0"/>
          <w:sz w:val="24"/>
          <w:szCs w:val="28"/>
        </w:rPr>
      </w:pP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22"/>
        <w:gridCol w:w="857"/>
        <w:gridCol w:w="5968"/>
      </w:tblGrid>
      <w:tr w14:paraId="5341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8D29DA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53B200F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评审因素</w:t>
            </w:r>
          </w:p>
        </w:tc>
        <w:tc>
          <w:tcPr>
            <w:tcW w:w="857" w:type="dxa"/>
            <w:tcBorders>
              <w:top w:val="single" w:color="auto" w:sz="4" w:space="0"/>
              <w:left w:val="single" w:color="auto" w:sz="4" w:space="0"/>
              <w:bottom w:val="single" w:color="auto" w:sz="4" w:space="0"/>
              <w:right w:val="single" w:color="auto" w:sz="4" w:space="0"/>
            </w:tcBorders>
            <w:vAlign w:val="center"/>
          </w:tcPr>
          <w:p w14:paraId="7D544B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分数</w:t>
            </w:r>
          </w:p>
        </w:tc>
        <w:tc>
          <w:tcPr>
            <w:tcW w:w="5968" w:type="dxa"/>
            <w:tcBorders>
              <w:top w:val="single" w:color="auto" w:sz="4" w:space="0"/>
              <w:left w:val="single" w:color="auto" w:sz="4" w:space="0"/>
              <w:bottom w:val="single" w:color="auto" w:sz="4" w:space="0"/>
              <w:right w:val="single" w:color="auto" w:sz="4" w:space="0"/>
            </w:tcBorders>
            <w:vAlign w:val="center"/>
          </w:tcPr>
          <w:p w14:paraId="72DE93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评分标准</w:t>
            </w:r>
          </w:p>
        </w:tc>
      </w:tr>
      <w:tr w14:paraId="0E6A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9A4186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22" w:type="dxa"/>
            <w:tcBorders>
              <w:top w:val="single" w:color="auto" w:sz="4" w:space="0"/>
              <w:left w:val="single" w:color="auto" w:sz="4" w:space="0"/>
              <w:bottom w:val="single" w:color="auto" w:sz="4" w:space="0"/>
              <w:right w:val="single" w:color="auto" w:sz="4" w:space="0"/>
            </w:tcBorders>
            <w:vAlign w:val="center"/>
          </w:tcPr>
          <w:p w14:paraId="4FD4B708">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价格</w:t>
            </w:r>
          </w:p>
        </w:tc>
        <w:tc>
          <w:tcPr>
            <w:tcW w:w="857" w:type="dxa"/>
            <w:tcBorders>
              <w:top w:val="single" w:color="auto" w:sz="4" w:space="0"/>
              <w:left w:val="single" w:color="auto" w:sz="4" w:space="0"/>
              <w:bottom w:val="single" w:color="auto" w:sz="4" w:space="0"/>
              <w:right w:val="single" w:color="auto" w:sz="4" w:space="0"/>
            </w:tcBorders>
            <w:vAlign w:val="center"/>
          </w:tcPr>
          <w:p w14:paraId="07E4592E">
            <w:pPr>
              <w:widowControl/>
              <w:spacing w:line="360" w:lineRule="auto"/>
              <w:jc w:val="center"/>
              <w:rPr>
                <w:rFonts w:ascii="仿宋" w:hAnsi="仿宋" w:eastAsia="仿宋" w:cs="仿宋"/>
                <w:kern w:val="0"/>
                <w:sz w:val="24"/>
                <w:szCs w:val="24"/>
              </w:rPr>
            </w:pPr>
            <w:r>
              <w:rPr>
                <w:rFonts w:ascii="仿宋" w:hAnsi="仿宋" w:eastAsia="仿宋" w:cs="仿宋"/>
                <w:sz w:val="24"/>
                <w:szCs w:val="24"/>
              </w:rPr>
              <w:t>1</w:t>
            </w:r>
            <w:r>
              <w:rPr>
                <w:rFonts w:hint="eastAsia" w:ascii="仿宋" w:hAnsi="仿宋" w:eastAsia="仿宋" w:cs="仿宋"/>
                <w:sz w:val="24"/>
                <w:szCs w:val="24"/>
              </w:rPr>
              <w:t>0</w:t>
            </w:r>
            <w:bookmarkStart w:id="31" w:name="_GoBack"/>
            <w:bookmarkEnd w:id="31"/>
            <w:r>
              <w:rPr>
                <w:rFonts w:hint="eastAsia" w:ascii="仿宋" w:hAnsi="仿宋" w:eastAsia="仿宋" w:cs="仿宋"/>
                <w:sz w:val="24"/>
                <w:szCs w:val="24"/>
              </w:rPr>
              <w:t>分</w:t>
            </w:r>
          </w:p>
        </w:tc>
        <w:tc>
          <w:tcPr>
            <w:tcW w:w="5968" w:type="dxa"/>
            <w:tcBorders>
              <w:top w:val="single" w:color="auto" w:sz="4" w:space="0"/>
              <w:left w:val="single" w:color="auto" w:sz="4" w:space="0"/>
              <w:bottom w:val="single" w:color="auto" w:sz="4" w:space="0"/>
              <w:right w:val="single" w:color="auto" w:sz="4" w:space="0"/>
            </w:tcBorders>
            <w:vAlign w:val="center"/>
          </w:tcPr>
          <w:p w14:paraId="306D5B72">
            <w:pPr>
              <w:spacing w:line="360" w:lineRule="auto"/>
              <w:rPr>
                <w:rFonts w:ascii="仿宋" w:hAnsi="仿宋" w:eastAsia="仿宋" w:cs="仿宋"/>
                <w:sz w:val="24"/>
                <w:szCs w:val="24"/>
              </w:rPr>
            </w:pPr>
            <w:r>
              <w:rPr>
                <w:rFonts w:hint="eastAsia" w:ascii="仿宋" w:hAnsi="仿宋" w:eastAsia="仿宋" w:cs="仿宋"/>
                <w:sz w:val="24"/>
                <w:szCs w:val="24"/>
              </w:rPr>
              <w:t>采用低价优先法计算：以满足招标文件要求且投标价格最低的投标报价（</w:t>
            </w:r>
            <w:r>
              <w:rPr>
                <w:rFonts w:hint="eastAsia" w:ascii="仿宋" w:hAnsi="仿宋" w:eastAsia="仿宋" w:cs="仿宋"/>
                <w:sz w:val="24"/>
                <w:szCs w:val="24"/>
                <w:highlight w:val="lightGray"/>
              </w:rPr>
              <w:t>一次报价总价</w:t>
            </w:r>
            <w:r>
              <w:rPr>
                <w:rFonts w:hint="eastAsia" w:ascii="仿宋" w:hAnsi="仿宋" w:eastAsia="仿宋" w:cs="仿宋"/>
                <w:sz w:val="24"/>
                <w:szCs w:val="24"/>
              </w:rPr>
              <w:t>）为评标基准价，其价格满分</w:t>
            </w:r>
            <w:r>
              <w:rPr>
                <w:rFonts w:ascii="仿宋" w:hAnsi="仿宋" w:eastAsia="仿宋" w:cs="仿宋"/>
                <w:sz w:val="24"/>
                <w:szCs w:val="24"/>
              </w:rPr>
              <w:t>1</w:t>
            </w:r>
            <w:r>
              <w:rPr>
                <w:rFonts w:hint="eastAsia" w:ascii="仿宋" w:hAnsi="仿宋" w:eastAsia="仿宋" w:cs="仿宋"/>
                <w:sz w:val="24"/>
                <w:szCs w:val="24"/>
              </w:rPr>
              <w:t>0分，其他投标人的价格分按照下列公式计算：报价得分=（评标基准价/投标报价）×</w:t>
            </w:r>
            <w:r>
              <w:rPr>
                <w:rFonts w:ascii="仿宋" w:hAnsi="仿宋" w:eastAsia="仿宋" w:cs="仿宋"/>
                <w:sz w:val="24"/>
                <w:szCs w:val="24"/>
              </w:rPr>
              <w:t>1</w:t>
            </w:r>
            <w:r>
              <w:rPr>
                <w:rFonts w:hint="eastAsia" w:ascii="仿宋" w:hAnsi="仿宋" w:eastAsia="仿宋" w:cs="仿宋"/>
                <w:sz w:val="24"/>
                <w:szCs w:val="24"/>
              </w:rPr>
              <w:t>0。当投标报价高于本次项目预算价的，则投标报价无效。分值保留小数点后2位。</w:t>
            </w:r>
          </w:p>
        </w:tc>
      </w:tr>
      <w:tr w14:paraId="5056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48E0A54F">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22" w:type="dxa"/>
            <w:tcBorders>
              <w:top w:val="single" w:color="auto" w:sz="4" w:space="0"/>
              <w:left w:val="single" w:color="auto" w:sz="4" w:space="0"/>
              <w:right w:val="single" w:color="auto" w:sz="4" w:space="0"/>
            </w:tcBorders>
            <w:vAlign w:val="center"/>
          </w:tcPr>
          <w:p w14:paraId="0F092053">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项目测试方案</w:t>
            </w:r>
          </w:p>
        </w:tc>
        <w:tc>
          <w:tcPr>
            <w:tcW w:w="857" w:type="dxa"/>
            <w:tcBorders>
              <w:top w:val="single" w:color="auto" w:sz="4" w:space="0"/>
              <w:left w:val="single" w:color="auto" w:sz="4" w:space="0"/>
              <w:bottom w:val="single" w:color="auto" w:sz="4" w:space="0"/>
              <w:right w:val="single" w:color="auto" w:sz="4" w:space="0"/>
            </w:tcBorders>
            <w:vAlign w:val="center"/>
          </w:tcPr>
          <w:p w14:paraId="49FBBD40">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4B446ECF">
            <w:pPr>
              <w:widowControl/>
              <w:spacing w:line="360" w:lineRule="auto"/>
              <w:jc w:val="left"/>
              <w:rPr>
                <w:rFonts w:ascii="仿宋" w:hAnsi="仿宋" w:eastAsia="仿宋" w:cs="仿宋"/>
                <w:sz w:val="24"/>
                <w:szCs w:val="24"/>
              </w:rPr>
            </w:pPr>
            <w:r>
              <w:rPr>
                <w:rFonts w:hint="eastAsia" w:ascii="仿宋" w:hAnsi="仿宋" w:eastAsia="仿宋" w:cs="仿宋"/>
                <w:sz w:val="24"/>
                <w:szCs w:val="24"/>
              </w:rPr>
              <w:t>项目测试方案应包含需求分析、测试依据、测试方法、测试内容、测试工具等描述：</w:t>
            </w:r>
          </w:p>
          <w:p w14:paraId="3965650B">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191BB4B4">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3C6CEC9B">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6DA96745">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5796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68851B7D">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222" w:type="dxa"/>
            <w:tcBorders>
              <w:top w:val="single" w:color="auto" w:sz="4" w:space="0"/>
              <w:left w:val="single" w:color="auto" w:sz="4" w:space="0"/>
              <w:right w:val="single" w:color="auto" w:sz="4" w:space="0"/>
            </w:tcBorders>
            <w:vAlign w:val="center"/>
          </w:tcPr>
          <w:p w14:paraId="784BB083">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测试重难点分析</w:t>
            </w:r>
          </w:p>
        </w:tc>
        <w:tc>
          <w:tcPr>
            <w:tcW w:w="857" w:type="dxa"/>
            <w:tcBorders>
              <w:top w:val="single" w:color="auto" w:sz="4" w:space="0"/>
              <w:left w:val="single" w:color="auto" w:sz="4" w:space="0"/>
              <w:bottom w:val="single" w:color="auto" w:sz="4" w:space="0"/>
              <w:right w:val="single" w:color="auto" w:sz="4" w:space="0"/>
            </w:tcBorders>
            <w:vAlign w:val="center"/>
          </w:tcPr>
          <w:p w14:paraId="7EB62F10">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422B9A47">
            <w:pPr>
              <w:widowControl/>
              <w:spacing w:line="360" w:lineRule="auto"/>
              <w:jc w:val="left"/>
              <w:rPr>
                <w:rFonts w:ascii="仿宋" w:hAnsi="仿宋" w:eastAsia="仿宋" w:cs="仿宋"/>
                <w:sz w:val="24"/>
                <w:szCs w:val="24"/>
              </w:rPr>
            </w:pPr>
            <w:r>
              <w:rPr>
                <w:rFonts w:hint="eastAsia" w:ascii="仿宋" w:hAnsi="仿宋" w:eastAsia="仿宋" w:cs="仿宋"/>
                <w:sz w:val="24"/>
                <w:szCs w:val="24"/>
              </w:rPr>
              <w:t>针对本项目的测试内容及测试的重点和难点进行深入分析:</w:t>
            </w:r>
          </w:p>
          <w:p w14:paraId="5D600318">
            <w:pPr>
              <w:widowControl/>
              <w:spacing w:line="360" w:lineRule="auto"/>
              <w:jc w:val="left"/>
              <w:rPr>
                <w:rFonts w:ascii="仿宋" w:hAnsi="仿宋" w:eastAsia="仿宋" w:cs="仿宋"/>
                <w:sz w:val="24"/>
                <w:szCs w:val="24"/>
              </w:rPr>
            </w:pPr>
            <w:r>
              <w:rPr>
                <w:rFonts w:hint="eastAsia" w:ascii="仿宋" w:hAnsi="仿宋" w:eastAsia="仿宋" w:cs="仿宋"/>
                <w:sz w:val="24"/>
                <w:szCs w:val="24"/>
              </w:rPr>
              <w:t>1）重难点分析清晰、准确，得12分；</w:t>
            </w:r>
          </w:p>
          <w:p w14:paraId="08B10A72">
            <w:pPr>
              <w:widowControl/>
              <w:spacing w:line="360" w:lineRule="auto"/>
              <w:jc w:val="left"/>
              <w:rPr>
                <w:rFonts w:ascii="仿宋" w:hAnsi="仿宋" w:eastAsia="仿宋" w:cs="仿宋"/>
                <w:sz w:val="24"/>
                <w:szCs w:val="24"/>
              </w:rPr>
            </w:pPr>
            <w:r>
              <w:rPr>
                <w:rFonts w:hint="eastAsia" w:ascii="仿宋" w:hAnsi="仿宋" w:eastAsia="仿宋" w:cs="仿宋"/>
                <w:sz w:val="24"/>
                <w:szCs w:val="24"/>
              </w:rPr>
              <w:t>2）有重难点分析，但不够清晰和准确，得9分；</w:t>
            </w:r>
          </w:p>
          <w:p w14:paraId="33C3BB04">
            <w:pPr>
              <w:widowControl/>
              <w:spacing w:line="360" w:lineRule="auto"/>
              <w:jc w:val="left"/>
              <w:rPr>
                <w:rFonts w:ascii="仿宋" w:hAnsi="仿宋" w:eastAsia="仿宋" w:cs="仿宋"/>
                <w:sz w:val="24"/>
                <w:szCs w:val="24"/>
              </w:rPr>
            </w:pPr>
            <w:r>
              <w:rPr>
                <w:rFonts w:hint="eastAsia" w:ascii="仿宋" w:hAnsi="仿宋" w:eastAsia="仿宋" w:cs="仿宋"/>
                <w:sz w:val="24"/>
                <w:szCs w:val="24"/>
              </w:rPr>
              <w:t>3）重难点分析简单含糊，得6分；</w:t>
            </w:r>
          </w:p>
          <w:p w14:paraId="1C1F175F">
            <w:pPr>
              <w:widowControl/>
              <w:spacing w:line="360" w:lineRule="auto"/>
              <w:jc w:val="left"/>
              <w:rPr>
                <w:rFonts w:ascii="仿宋" w:hAnsi="仿宋" w:eastAsia="仿宋" w:cs="仿宋"/>
                <w:sz w:val="24"/>
                <w:szCs w:val="24"/>
              </w:rPr>
            </w:pPr>
            <w:r>
              <w:rPr>
                <w:rFonts w:hint="eastAsia" w:ascii="仿宋" w:hAnsi="仿宋" w:eastAsia="仿宋" w:cs="仿宋"/>
                <w:sz w:val="24"/>
                <w:szCs w:val="24"/>
              </w:rPr>
              <w:t>4）没有测试重难点分析不得分。</w:t>
            </w:r>
          </w:p>
        </w:tc>
      </w:tr>
      <w:tr w14:paraId="6162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1141539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222" w:type="dxa"/>
            <w:tcBorders>
              <w:top w:val="single" w:color="auto" w:sz="4" w:space="0"/>
              <w:left w:val="single" w:color="auto" w:sz="4" w:space="0"/>
              <w:right w:val="single" w:color="auto" w:sz="4" w:space="0"/>
            </w:tcBorders>
            <w:vAlign w:val="center"/>
          </w:tcPr>
          <w:p w14:paraId="707A8521">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项目管理方案</w:t>
            </w:r>
          </w:p>
        </w:tc>
        <w:tc>
          <w:tcPr>
            <w:tcW w:w="857" w:type="dxa"/>
            <w:tcBorders>
              <w:top w:val="single" w:color="auto" w:sz="4" w:space="0"/>
              <w:left w:val="single" w:color="auto" w:sz="4" w:space="0"/>
              <w:bottom w:val="single" w:color="auto" w:sz="4" w:space="0"/>
              <w:right w:val="single" w:color="auto" w:sz="4" w:space="0"/>
            </w:tcBorders>
            <w:vAlign w:val="center"/>
          </w:tcPr>
          <w:p w14:paraId="50C3B631">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04202178">
            <w:pPr>
              <w:widowControl/>
              <w:spacing w:line="360" w:lineRule="auto"/>
              <w:jc w:val="left"/>
              <w:rPr>
                <w:rFonts w:ascii="仿宋" w:hAnsi="仿宋" w:eastAsia="仿宋" w:cs="仿宋"/>
                <w:sz w:val="24"/>
                <w:szCs w:val="24"/>
              </w:rPr>
            </w:pPr>
            <w:r>
              <w:rPr>
                <w:rFonts w:hint="eastAsia" w:ascii="仿宋" w:hAnsi="仿宋" w:eastAsia="仿宋" w:cs="仿宋"/>
                <w:sz w:val="24"/>
                <w:szCs w:val="24"/>
              </w:rPr>
              <w:t>项目管理方案应包含项目组织架构、人员安排、进度计划、质量保障、风险控制、文档管理等描述：</w:t>
            </w:r>
          </w:p>
          <w:p w14:paraId="02287C09">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3BB073DC">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37070646">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082F2384">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7EE0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7" w:type="dxa"/>
            <w:tcBorders>
              <w:top w:val="single" w:color="auto" w:sz="4" w:space="0"/>
              <w:left w:val="single" w:color="auto" w:sz="4" w:space="0"/>
              <w:right w:val="single" w:color="auto" w:sz="4" w:space="0"/>
            </w:tcBorders>
            <w:vAlign w:val="center"/>
          </w:tcPr>
          <w:p w14:paraId="4774322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222" w:type="dxa"/>
            <w:tcBorders>
              <w:top w:val="single" w:color="auto" w:sz="4" w:space="0"/>
              <w:left w:val="single" w:color="auto" w:sz="4" w:space="0"/>
              <w:right w:val="single" w:color="auto" w:sz="4" w:space="0"/>
            </w:tcBorders>
            <w:vAlign w:val="center"/>
          </w:tcPr>
          <w:p w14:paraId="337F0386">
            <w:pPr>
              <w:widowControl/>
              <w:spacing w:line="360" w:lineRule="auto"/>
              <w:jc w:val="left"/>
              <w:rPr>
                <w:rFonts w:ascii="仿宋" w:hAnsi="仿宋" w:eastAsia="仿宋" w:cs="仿宋"/>
                <w:kern w:val="0"/>
                <w:sz w:val="24"/>
                <w:szCs w:val="24"/>
              </w:rPr>
            </w:pPr>
            <w:r>
              <w:rPr>
                <w:rFonts w:hint="eastAsia" w:ascii="仿宋" w:hAnsi="仿宋" w:eastAsia="仿宋" w:cs="仿宋"/>
                <w:sz w:val="24"/>
                <w:szCs w:val="24"/>
              </w:rPr>
              <w:t>售后服务方案</w:t>
            </w:r>
          </w:p>
        </w:tc>
        <w:tc>
          <w:tcPr>
            <w:tcW w:w="857" w:type="dxa"/>
            <w:tcBorders>
              <w:top w:val="single" w:color="auto" w:sz="4" w:space="0"/>
              <w:left w:val="single" w:color="auto" w:sz="4" w:space="0"/>
              <w:bottom w:val="single" w:color="auto" w:sz="4" w:space="0"/>
              <w:right w:val="single" w:color="auto" w:sz="4" w:space="0"/>
            </w:tcBorders>
            <w:vAlign w:val="center"/>
          </w:tcPr>
          <w:p w14:paraId="7C188D1B">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right w:val="single" w:color="auto" w:sz="4" w:space="0"/>
            </w:tcBorders>
            <w:vAlign w:val="center"/>
          </w:tcPr>
          <w:p w14:paraId="51430A89">
            <w:pPr>
              <w:widowControl/>
              <w:spacing w:line="360" w:lineRule="auto"/>
              <w:jc w:val="left"/>
              <w:rPr>
                <w:rFonts w:ascii="仿宋" w:hAnsi="仿宋" w:eastAsia="仿宋" w:cs="仿宋"/>
                <w:sz w:val="24"/>
                <w:szCs w:val="24"/>
              </w:rPr>
            </w:pPr>
            <w:r>
              <w:rPr>
                <w:rFonts w:hint="eastAsia" w:ascii="仿宋" w:hAnsi="仿宋" w:eastAsia="仿宋" w:cs="仿宋"/>
                <w:sz w:val="24"/>
                <w:szCs w:val="24"/>
              </w:rPr>
              <w:t>售后服务方案应包括服务流程、响应时间、服务电话、应急机制、投诉管理等内容描述：</w:t>
            </w:r>
          </w:p>
          <w:p w14:paraId="6E60F8F1">
            <w:pPr>
              <w:widowControl/>
              <w:spacing w:line="360" w:lineRule="auto"/>
              <w:jc w:val="left"/>
              <w:rPr>
                <w:rFonts w:ascii="仿宋" w:hAnsi="仿宋" w:eastAsia="仿宋" w:cs="仿宋"/>
                <w:sz w:val="24"/>
                <w:szCs w:val="24"/>
              </w:rPr>
            </w:pPr>
            <w:r>
              <w:rPr>
                <w:rFonts w:hint="eastAsia" w:ascii="仿宋" w:hAnsi="仿宋" w:eastAsia="仿宋" w:cs="仿宋"/>
                <w:sz w:val="24"/>
                <w:szCs w:val="24"/>
              </w:rPr>
              <w:t>1）方案详实、科学合理，可操作性很强，得12分；</w:t>
            </w:r>
          </w:p>
          <w:p w14:paraId="74CF6F23">
            <w:pPr>
              <w:widowControl/>
              <w:spacing w:line="360" w:lineRule="auto"/>
              <w:jc w:val="left"/>
              <w:rPr>
                <w:rFonts w:ascii="仿宋" w:hAnsi="仿宋" w:eastAsia="仿宋" w:cs="仿宋"/>
                <w:sz w:val="24"/>
                <w:szCs w:val="24"/>
              </w:rPr>
            </w:pPr>
            <w:r>
              <w:rPr>
                <w:rFonts w:hint="eastAsia" w:ascii="仿宋" w:hAnsi="仿宋" w:eastAsia="仿宋" w:cs="仿宋"/>
                <w:sz w:val="24"/>
                <w:szCs w:val="24"/>
              </w:rPr>
              <w:t>2）方案较为科学合理，可操作性较强，得9分；</w:t>
            </w:r>
          </w:p>
          <w:p w14:paraId="195EBE91">
            <w:pPr>
              <w:widowControl/>
              <w:spacing w:line="360" w:lineRule="auto"/>
              <w:jc w:val="left"/>
              <w:rPr>
                <w:rFonts w:ascii="仿宋" w:hAnsi="仿宋" w:eastAsia="仿宋" w:cs="仿宋"/>
                <w:sz w:val="24"/>
                <w:szCs w:val="24"/>
              </w:rPr>
            </w:pPr>
            <w:r>
              <w:rPr>
                <w:rFonts w:hint="eastAsia" w:ascii="仿宋" w:hAnsi="仿宋" w:eastAsia="仿宋" w:cs="仿宋"/>
                <w:sz w:val="24"/>
                <w:szCs w:val="24"/>
              </w:rPr>
              <w:t>3）方案可操作性一般，得6分；</w:t>
            </w:r>
          </w:p>
          <w:p w14:paraId="2BFA92FD">
            <w:pPr>
              <w:widowControl/>
              <w:spacing w:line="360" w:lineRule="auto"/>
              <w:jc w:val="left"/>
              <w:rPr>
                <w:rFonts w:ascii="仿宋" w:hAnsi="仿宋" w:eastAsia="仿宋" w:cs="仿宋"/>
                <w:sz w:val="24"/>
                <w:szCs w:val="24"/>
              </w:rPr>
            </w:pPr>
            <w:r>
              <w:rPr>
                <w:rFonts w:hint="eastAsia" w:ascii="仿宋" w:hAnsi="仿宋" w:eastAsia="仿宋" w:cs="仿宋"/>
                <w:sz w:val="24"/>
                <w:szCs w:val="24"/>
              </w:rPr>
              <w:t>4）较差或未提供不得分。</w:t>
            </w:r>
          </w:p>
        </w:tc>
      </w:tr>
      <w:tr w14:paraId="024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right w:val="single" w:color="auto" w:sz="4" w:space="0"/>
            </w:tcBorders>
            <w:vAlign w:val="center"/>
          </w:tcPr>
          <w:p w14:paraId="381318B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222" w:type="dxa"/>
            <w:tcBorders>
              <w:top w:val="single" w:color="auto" w:sz="4" w:space="0"/>
              <w:left w:val="single" w:color="auto" w:sz="4" w:space="0"/>
              <w:right w:val="single" w:color="auto" w:sz="4" w:space="0"/>
            </w:tcBorders>
            <w:vAlign w:val="center"/>
          </w:tcPr>
          <w:p w14:paraId="3712ACE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项目经理履约能力</w:t>
            </w:r>
          </w:p>
        </w:tc>
        <w:tc>
          <w:tcPr>
            <w:tcW w:w="857" w:type="dxa"/>
            <w:tcBorders>
              <w:top w:val="single" w:color="auto" w:sz="4" w:space="0"/>
              <w:left w:val="single" w:color="auto" w:sz="4" w:space="0"/>
              <w:bottom w:val="single" w:color="auto" w:sz="4" w:space="0"/>
              <w:right w:val="single" w:color="auto" w:sz="4" w:space="0"/>
            </w:tcBorders>
            <w:vAlign w:val="center"/>
          </w:tcPr>
          <w:p w14:paraId="755FA12E">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8分</w:t>
            </w:r>
          </w:p>
        </w:tc>
        <w:tc>
          <w:tcPr>
            <w:tcW w:w="5968" w:type="dxa"/>
            <w:tcBorders>
              <w:top w:val="single" w:color="auto" w:sz="4" w:space="0"/>
              <w:left w:val="single" w:color="auto" w:sz="4" w:space="0"/>
              <w:bottom w:val="single" w:color="auto" w:sz="4" w:space="0"/>
              <w:right w:val="single" w:color="auto" w:sz="4" w:space="0"/>
            </w:tcBorders>
            <w:vAlign w:val="center"/>
          </w:tcPr>
          <w:p w14:paraId="71BF3B30">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1）具有人社部门颁发</w:t>
            </w:r>
            <w:r>
              <w:rPr>
                <w:rFonts w:ascii="仿宋" w:hAnsi="仿宋" w:eastAsia="仿宋" w:cs="仿宋"/>
                <w:color w:val="000000"/>
                <w:sz w:val="24"/>
                <w:szCs w:val="24"/>
              </w:rPr>
              <w:t>电子信息工程</w:t>
            </w:r>
            <w:r>
              <w:rPr>
                <w:rFonts w:hint="eastAsia" w:ascii="仿宋" w:hAnsi="仿宋" w:eastAsia="仿宋" w:cs="仿宋"/>
                <w:color w:val="000000"/>
                <w:sz w:val="24"/>
                <w:szCs w:val="24"/>
              </w:rPr>
              <w:t>-质量管理专业</w:t>
            </w:r>
            <w:r>
              <w:rPr>
                <w:rFonts w:ascii="仿宋" w:hAnsi="仿宋" w:eastAsia="仿宋" w:cs="仿宋"/>
                <w:color w:val="000000"/>
                <w:sz w:val="24"/>
                <w:szCs w:val="24"/>
              </w:rPr>
              <w:t>高级工程师证书</w:t>
            </w:r>
            <w:r>
              <w:rPr>
                <w:rFonts w:hint="eastAsia" w:ascii="仿宋" w:hAnsi="仿宋" w:eastAsia="仿宋" w:cs="仿宋"/>
                <w:color w:val="000000"/>
                <w:sz w:val="24"/>
                <w:szCs w:val="24"/>
              </w:rPr>
              <w:t>，得2分；</w:t>
            </w:r>
          </w:p>
          <w:p w14:paraId="3439DB2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2）具有人社部门颁发</w:t>
            </w:r>
            <w:r>
              <w:rPr>
                <w:rFonts w:ascii="仿宋" w:hAnsi="仿宋" w:eastAsia="仿宋" w:cs="仿宋"/>
                <w:color w:val="000000"/>
                <w:sz w:val="24"/>
                <w:szCs w:val="24"/>
              </w:rPr>
              <w:t>信息系统项目管理师</w:t>
            </w:r>
            <w:r>
              <w:rPr>
                <w:rFonts w:hint="eastAsia" w:ascii="仿宋" w:hAnsi="仿宋" w:eastAsia="仿宋" w:cs="仿宋"/>
                <w:color w:val="000000"/>
                <w:sz w:val="24"/>
                <w:szCs w:val="24"/>
              </w:rPr>
              <w:t>（高级）证书，得2分；</w:t>
            </w:r>
          </w:p>
          <w:p w14:paraId="3E74F6A1">
            <w:pPr>
              <w:widowControl/>
              <w:spacing w:line="360" w:lineRule="auto"/>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）具有国际软件测试资质认证委员会I</w:t>
            </w:r>
            <w:r>
              <w:rPr>
                <w:rFonts w:ascii="仿宋" w:hAnsi="仿宋" w:eastAsia="仿宋" w:cs="仿宋"/>
                <w:color w:val="000000"/>
                <w:sz w:val="24"/>
                <w:szCs w:val="24"/>
              </w:rPr>
              <w:t>STQB</w:t>
            </w:r>
            <w:r>
              <w:rPr>
                <w:rFonts w:hint="eastAsia" w:ascii="仿宋" w:hAnsi="仿宋" w:eastAsia="仿宋" w:cs="仿宋"/>
                <w:color w:val="000000"/>
                <w:sz w:val="24"/>
                <w:szCs w:val="24"/>
              </w:rPr>
              <w:t>高级测试经理证书，得2分；</w:t>
            </w:r>
          </w:p>
          <w:p w14:paraId="164D6BD0">
            <w:pPr>
              <w:pStyle w:val="9"/>
              <w:spacing w:line="360" w:lineRule="auto"/>
              <w:ind w:left="0" w:leftChars="0"/>
              <w:rPr>
                <w:rFonts w:ascii="仿宋" w:hAnsi="仿宋" w:eastAsia="仿宋" w:cs="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）具有ITSS服务经理或ITSS应用经理证书，得2分。</w:t>
            </w:r>
          </w:p>
          <w:p w14:paraId="7EF54E46">
            <w:pPr>
              <w:widowControl/>
              <w:spacing w:line="360" w:lineRule="auto"/>
              <w:rPr>
                <w:rFonts w:ascii="仿宋" w:hAnsi="仿宋" w:eastAsia="仿宋" w:cs="仿宋"/>
                <w:sz w:val="24"/>
                <w:szCs w:val="24"/>
              </w:rPr>
            </w:pPr>
            <w:r>
              <w:rPr>
                <w:rFonts w:hint="eastAsia" w:ascii="仿宋" w:hAnsi="仿宋" w:eastAsia="仿宋" w:cs="仿宋"/>
                <w:b/>
                <w:bCs/>
                <w:color w:val="000000"/>
                <w:sz w:val="24"/>
                <w:szCs w:val="24"/>
              </w:rPr>
              <w:t>（须提供相关证书或证明材料和开标前3个月内任意1个月的社保缴费证明，未提供不得分）</w:t>
            </w:r>
          </w:p>
        </w:tc>
      </w:tr>
      <w:tr w14:paraId="1049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right w:val="single" w:color="auto" w:sz="4" w:space="0"/>
            </w:tcBorders>
            <w:vAlign w:val="center"/>
          </w:tcPr>
          <w:p w14:paraId="6CC0504F">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222" w:type="dxa"/>
            <w:tcBorders>
              <w:left w:val="single" w:color="auto" w:sz="4" w:space="0"/>
              <w:right w:val="single" w:color="auto" w:sz="4" w:space="0"/>
            </w:tcBorders>
            <w:vAlign w:val="center"/>
          </w:tcPr>
          <w:p w14:paraId="3D77E6B1">
            <w:pPr>
              <w:widowControl/>
              <w:spacing w:line="360" w:lineRule="auto"/>
              <w:jc w:val="center"/>
              <w:rPr>
                <w:rFonts w:ascii="仿宋" w:hAnsi="仿宋" w:eastAsia="仿宋" w:cs="仿宋"/>
                <w:kern w:val="0"/>
                <w:sz w:val="24"/>
                <w:szCs w:val="24"/>
                <w:lang w:eastAsia="zh-Hans"/>
              </w:rPr>
            </w:pPr>
            <w:r>
              <w:rPr>
                <w:rFonts w:hint="eastAsia" w:ascii="仿宋" w:hAnsi="仿宋" w:eastAsia="仿宋" w:cs="仿宋"/>
                <w:color w:val="000000"/>
                <w:sz w:val="24"/>
                <w:szCs w:val="24"/>
              </w:rPr>
              <w:t>其他实施人员履约能力</w:t>
            </w:r>
          </w:p>
        </w:tc>
        <w:tc>
          <w:tcPr>
            <w:tcW w:w="857" w:type="dxa"/>
            <w:tcBorders>
              <w:top w:val="single" w:color="auto" w:sz="4" w:space="0"/>
              <w:left w:val="single" w:color="auto" w:sz="4" w:space="0"/>
              <w:bottom w:val="single" w:color="auto" w:sz="4" w:space="0"/>
              <w:right w:val="single" w:color="auto" w:sz="4" w:space="0"/>
            </w:tcBorders>
            <w:vAlign w:val="center"/>
          </w:tcPr>
          <w:p w14:paraId="4F62AF51">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12分</w:t>
            </w:r>
          </w:p>
        </w:tc>
        <w:tc>
          <w:tcPr>
            <w:tcW w:w="5968" w:type="dxa"/>
            <w:tcBorders>
              <w:top w:val="single" w:color="auto" w:sz="4" w:space="0"/>
              <w:left w:val="single" w:color="auto" w:sz="4" w:space="0"/>
              <w:bottom w:val="single" w:color="auto" w:sz="4" w:space="0"/>
              <w:right w:val="single" w:color="auto" w:sz="4" w:space="0"/>
            </w:tcBorders>
            <w:vAlign w:val="center"/>
          </w:tcPr>
          <w:p w14:paraId="30B1544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其他实施人员要求（除项目经理外）：</w:t>
            </w:r>
          </w:p>
          <w:p w14:paraId="5D62692B">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1）具有人社部门颁发软件测评师证书的，得2分；</w:t>
            </w:r>
          </w:p>
          <w:p w14:paraId="6F0C4BFF">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2）具有注册信息安全管理人员（CISP）证书，得2分；</w:t>
            </w:r>
          </w:p>
          <w:p w14:paraId="606BD73E">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3）具有系统集成项目管理工程师专业技术资格（中级）证书的，得2分；</w:t>
            </w:r>
          </w:p>
          <w:p w14:paraId="6F5946C1">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4）具有项目管理专业人员资格（PMP）证书，得2分；</w:t>
            </w:r>
          </w:p>
          <w:p w14:paraId="0C9E02EC">
            <w:pPr>
              <w:pStyle w:val="9"/>
              <w:spacing w:line="360" w:lineRule="auto"/>
              <w:ind w:left="0" w:leftChars="0"/>
              <w:rPr>
                <w:rFonts w:ascii="仿宋" w:hAnsi="仿宋" w:eastAsia="仿宋" w:cs="仿宋"/>
                <w:color w:val="000000"/>
                <w:sz w:val="24"/>
                <w:szCs w:val="24"/>
              </w:rPr>
            </w:pPr>
            <w:r>
              <w:rPr>
                <w:rFonts w:hint="eastAsia" w:ascii="仿宋" w:hAnsi="仿宋" w:eastAsia="仿宋" w:cs="仿宋"/>
                <w:color w:val="000000"/>
                <w:sz w:val="24"/>
                <w:szCs w:val="24"/>
              </w:rPr>
              <w:t>5）具有软件质量检验师（高级）证书，得2分；</w:t>
            </w:r>
          </w:p>
          <w:p w14:paraId="63E77039">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6）具有信息系统审计师（CISA）证书，得2分。</w:t>
            </w:r>
          </w:p>
          <w:p w14:paraId="6F60A820">
            <w:pPr>
              <w:widowControl/>
              <w:spacing w:line="360" w:lineRule="auto"/>
              <w:rPr>
                <w:rFonts w:ascii="仿宋" w:hAnsi="仿宋" w:eastAsia="仿宋" w:cs="仿宋"/>
                <w:b/>
                <w:sz w:val="24"/>
                <w:szCs w:val="24"/>
                <w:lang w:eastAsia="zh-Hans"/>
              </w:rPr>
            </w:pPr>
            <w:r>
              <w:rPr>
                <w:rFonts w:hint="eastAsia" w:ascii="仿宋" w:hAnsi="仿宋" w:eastAsia="仿宋" w:cs="仿宋"/>
                <w:b/>
                <w:bCs/>
                <w:color w:val="000000"/>
                <w:sz w:val="24"/>
                <w:szCs w:val="24"/>
              </w:rPr>
              <w:t>（提供相关证书或证明材料和开标前3个月内任意1个月的社保缴费证明，未提供不得分）</w:t>
            </w:r>
          </w:p>
        </w:tc>
      </w:tr>
      <w:tr w14:paraId="14D9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CF66A85">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222" w:type="dxa"/>
            <w:tcBorders>
              <w:top w:val="single" w:color="auto" w:sz="4" w:space="0"/>
              <w:left w:val="single" w:color="auto" w:sz="4" w:space="0"/>
              <w:bottom w:val="single" w:color="auto" w:sz="4" w:space="0"/>
              <w:right w:val="single" w:color="auto" w:sz="4" w:space="0"/>
            </w:tcBorders>
            <w:vAlign w:val="center"/>
          </w:tcPr>
          <w:p w14:paraId="666F652E">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工具及测试能力</w:t>
            </w:r>
          </w:p>
        </w:tc>
        <w:tc>
          <w:tcPr>
            <w:tcW w:w="857" w:type="dxa"/>
            <w:tcBorders>
              <w:top w:val="single" w:color="auto" w:sz="4" w:space="0"/>
              <w:left w:val="single" w:color="auto" w:sz="4" w:space="0"/>
              <w:bottom w:val="single" w:color="auto" w:sz="4" w:space="0"/>
              <w:right w:val="single" w:color="auto" w:sz="4" w:space="0"/>
            </w:tcBorders>
            <w:vAlign w:val="center"/>
          </w:tcPr>
          <w:p w14:paraId="77745F7A">
            <w:pPr>
              <w:widowControl/>
              <w:spacing w:line="360" w:lineRule="auto"/>
              <w:jc w:val="center"/>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分</w:t>
            </w:r>
          </w:p>
        </w:tc>
        <w:tc>
          <w:tcPr>
            <w:tcW w:w="5968" w:type="dxa"/>
            <w:tcBorders>
              <w:top w:val="single" w:color="auto" w:sz="4" w:space="0"/>
              <w:left w:val="single" w:color="auto" w:sz="4" w:space="0"/>
              <w:bottom w:val="single" w:color="auto" w:sz="4" w:space="0"/>
              <w:right w:val="single" w:color="auto" w:sz="4" w:space="0"/>
            </w:tcBorders>
            <w:vAlign w:val="center"/>
          </w:tcPr>
          <w:p w14:paraId="55CEA297">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1、投标人具备软件性能测试工具的（并发模拟用户数最少支持500用户数），得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分（提供测试工具采购发票、采购合同及并发数量授权文件复印件，未提供不得分）。</w:t>
            </w:r>
          </w:p>
          <w:p w14:paraId="7187FC7A">
            <w:pPr>
              <w:widowControl/>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2、投标人具备软件系统安全测试工具（至少包括有漏洞扫描工具、BurpSuitePro安全测试工具等），得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分（提供测试工具采购发票、采购合同等复印件，未提供不得分）。</w:t>
            </w:r>
          </w:p>
          <w:p w14:paraId="41C8A5F1">
            <w:pPr>
              <w:pStyle w:val="9"/>
              <w:ind w:left="0" w:leftChars="0"/>
            </w:pPr>
            <w:r>
              <w:rPr>
                <w:rFonts w:ascii="仿宋" w:hAnsi="仿宋" w:eastAsia="仿宋" w:cs="仿宋"/>
                <w:color w:val="000000"/>
                <w:sz w:val="24"/>
                <w:szCs w:val="24"/>
              </w:rPr>
              <w:t>3</w:t>
            </w:r>
            <w:r>
              <w:rPr>
                <w:rFonts w:hint="eastAsia" w:ascii="仿宋" w:hAnsi="仿宋" w:eastAsia="仿宋" w:cs="仿宋"/>
                <w:color w:val="000000"/>
                <w:sz w:val="24"/>
                <w:szCs w:val="24"/>
              </w:rPr>
              <w:t>、投标人具备代码安全测试工具（至少包括有如</w:t>
            </w:r>
            <w:r>
              <w:rPr>
                <w:rFonts w:ascii="仿宋" w:hAnsi="仿宋" w:eastAsia="仿宋" w:cs="仿宋"/>
                <w:color w:val="000000"/>
                <w:sz w:val="24"/>
                <w:szCs w:val="24"/>
              </w:rPr>
              <w:t>Fortify-SCA</w:t>
            </w:r>
            <w:r>
              <w:rPr>
                <w:rFonts w:hint="eastAsia" w:ascii="仿宋" w:hAnsi="仿宋" w:eastAsia="仿宋" w:cs="仿宋"/>
                <w:color w:val="000000"/>
                <w:sz w:val="24"/>
                <w:szCs w:val="24"/>
              </w:rPr>
              <w:t>代码安全审计工具等），得</w:t>
            </w:r>
            <w:r>
              <w:rPr>
                <w:rFonts w:ascii="仿宋" w:hAnsi="仿宋" w:eastAsia="仿宋" w:cs="仿宋"/>
                <w:color w:val="000000"/>
                <w:sz w:val="24"/>
                <w:szCs w:val="24"/>
              </w:rPr>
              <w:t>2</w:t>
            </w:r>
            <w:r>
              <w:rPr>
                <w:rFonts w:hint="eastAsia" w:ascii="仿宋" w:hAnsi="仿宋" w:eastAsia="仿宋" w:cs="仿宋"/>
                <w:color w:val="000000"/>
                <w:sz w:val="24"/>
                <w:szCs w:val="24"/>
              </w:rPr>
              <w:t>分（提供测试工具采购发票、采购或租赁合同等复印件，未提供不得分）。</w:t>
            </w:r>
          </w:p>
        </w:tc>
      </w:tr>
      <w:tr w14:paraId="4FCF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51F699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222" w:type="dxa"/>
            <w:tcBorders>
              <w:top w:val="single" w:color="auto" w:sz="4" w:space="0"/>
              <w:left w:val="single" w:color="auto" w:sz="4" w:space="0"/>
              <w:bottom w:val="single" w:color="auto" w:sz="4" w:space="0"/>
              <w:right w:val="single" w:color="auto" w:sz="4" w:space="0"/>
            </w:tcBorders>
            <w:vAlign w:val="center"/>
          </w:tcPr>
          <w:p w14:paraId="6C9C978C">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履约能力（认可证书）</w:t>
            </w:r>
          </w:p>
        </w:tc>
        <w:tc>
          <w:tcPr>
            <w:tcW w:w="857" w:type="dxa"/>
            <w:tcBorders>
              <w:top w:val="single" w:color="auto" w:sz="4" w:space="0"/>
              <w:left w:val="single" w:color="auto" w:sz="4" w:space="0"/>
              <w:bottom w:val="single" w:color="auto" w:sz="4" w:space="0"/>
              <w:right w:val="single" w:color="auto" w:sz="4" w:space="0"/>
            </w:tcBorders>
            <w:vAlign w:val="center"/>
          </w:tcPr>
          <w:p w14:paraId="421E80A7">
            <w:pPr>
              <w:widowControl/>
              <w:spacing w:line="360" w:lineRule="auto"/>
              <w:jc w:val="center"/>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分</w:t>
            </w:r>
          </w:p>
        </w:tc>
        <w:tc>
          <w:tcPr>
            <w:tcW w:w="5968" w:type="dxa"/>
            <w:tcBorders>
              <w:top w:val="single" w:color="auto" w:sz="4" w:space="0"/>
              <w:left w:val="single" w:color="auto" w:sz="4" w:space="0"/>
              <w:bottom w:val="single" w:color="auto" w:sz="4" w:space="0"/>
              <w:right w:val="single" w:color="auto" w:sz="4" w:space="0"/>
            </w:tcBorders>
            <w:vAlign w:val="center"/>
          </w:tcPr>
          <w:p w14:paraId="6C326A19">
            <w:pPr>
              <w:spacing w:line="360" w:lineRule="auto"/>
              <w:rPr>
                <w:rFonts w:hint="eastAsia" w:ascii="仿宋" w:hAnsi="仿宋" w:eastAsia="仿宋" w:cs="仿宋"/>
                <w:sz w:val="24"/>
                <w:szCs w:val="24"/>
              </w:rPr>
            </w:pPr>
            <w:r>
              <w:rPr>
                <w:rFonts w:hint="eastAsia" w:ascii="仿宋" w:hAnsi="仿宋" w:eastAsia="仿宋" w:cs="仿宋"/>
                <w:sz w:val="24"/>
                <w:szCs w:val="24"/>
              </w:rPr>
              <w:t>1）投标人具有中国合格评定国家认可委员会颁发的实验室认可证书（CNAS），得3分；</w:t>
            </w:r>
          </w:p>
          <w:p w14:paraId="3859D506">
            <w:pPr>
              <w:spacing w:line="360" w:lineRule="auto"/>
              <w:rPr>
                <w:rFonts w:ascii="仿宋" w:hAnsi="仿宋" w:eastAsia="仿宋" w:cs="仿宋"/>
                <w:sz w:val="24"/>
                <w:szCs w:val="24"/>
              </w:rPr>
            </w:pPr>
            <w:r>
              <w:rPr>
                <w:rFonts w:hint="eastAsia" w:ascii="仿宋" w:hAnsi="仿宋" w:eastAsia="仿宋" w:cs="仿宋"/>
                <w:sz w:val="24"/>
                <w:szCs w:val="24"/>
              </w:rPr>
              <w:t>2）投标人具有质检部门颁发的检测检测机构资质认定证书（CMA） ，得3分；</w:t>
            </w:r>
          </w:p>
          <w:p w14:paraId="6029B5BF">
            <w:pPr>
              <w:spacing w:line="360" w:lineRule="auto"/>
              <w:rPr>
                <w:rFonts w:ascii="仿宋" w:hAnsi="仿宋" w:eastAsia="仿宋" w:cs="仿宋"/>
                <w:color w:val="000000"/>
                <w:sz w:val="24"/>
                <w:szCs w:val="24"/>
              </w:rPr>
            </w:pPr>
            <w:r>
              <w:rPr>
                <w:rFonts w:hint="eastAsia"/>
              </w:rPr>
              <w:t>3）</w:t>
            </w:r>
            <w:r>
              <w:rPr>
                <w:rFonts w:hint="eastAsia" w:ascii="仿宋" w:hAnsi="仿宋" w:eastAsia="仿宋" w:cs="仿宋"/>
                <w:color w:val="000000"/>
                <w:sz w:val="24"/>
                <w:szCs w:val="24"/>
              </w:rPr>
              <w:t>投标人具有ISO9001质量管理体系证书，得</w:t>
            </w:r>
            <w:r>
              <w:rPr>
                <w:rFonts w:ascii="仿宋" w:hAnsi="仿宋" w:eastAsia="仿宋" w:cs="仿宋"/>
                <w:color w:val="000000"/>
                <w:sz w:val="24"/>
                <w:szCs w:val="24"/>
              </w:rPr>
              <w:t>2</w:t>
            </w:r>
            <w:r>
              <w:rPr>
                <w:rFonts w:hint="eastAsia" w:ascii="仿宋" w:hAnsi="仿宋" w:eastAsia="仿宋" w:cs="仿宋"/>
                <w:color w:val="000000"/>
                <w:sz w:val="24"/>
                <w:szCs w:val="24"/>
              </w:rPr>
              <w:t>分；</w:t>
            </w:r>
          </w:p>
          <w:p w14:paraId="510E616E">
            <w:pPr>
              <w:spacing w:line="360" w:lineRule="auto"/>
            </w:pPr>
            <w:r>
              <w:rPr>
                <w:rFonts w:hint="eastAsia" w:ascii="仿宋" w:hAnsi="仿宋" w:eastAsia="仿宋" w:cs="仿宋"/>
                <w:color w:val="000000"/>
                <w:sz w:val="24"/>
                <w:szCs w:val="24"/>
              </w:rPr>
              <w:t>4）投标人具有软件工程造价评估资质证书，得2分。</w:t>
            </w:r>
          </w:p>
        </w:tc>
      </w:tr>
      <w:tr w14:paraId="5CC0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9CE7D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222" w:type="dxa"/>
            <w:tcBorders>
              <w:top w:val="single" w:color="auto" w:sz="4" w:space="0"/>
              <w:left w:val="single" w:color="auto" w:sz="4" w:space="0"/>
              <w:bottom w:val="single" w:color="auto" w:sz="4" w:space="0"/>
              <w:right w:val="single" w:color="auto" w:sz="4" w:space="0"/>
            </w:tcBorders>
            <w:vAlign w:val="center"/>
          </w:tcPr>
          <w:p w14:paraId="45298206">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履约能力（专利）</w:t>
            </w:r>
          </w:p>
        </w:tc>
        <w:tc>
          <w:tcPr>
            <w:tcW w:w="857" w:type="dxa"/>
            <w:tcBorders>
              <w:top w:val="single" w:color="auto" w:sz="4" w:space="0"/>
              <w:left w:val="single" w:color="auto" w:sz="4" w:space="0"/>
              <w:bottom w:val="single" w:color="auto" w:sz="4" w:space="0"/>
              <w:right w:val="single" w:color="auto" w:sz="4" w:space="0"/>
            </w:tcBorders>
            <w:vAlign w:val="center"/>
          </w:tcPr>
          <w:p w14:paraId="26A256E8">
            <w:pPr>
              <w:widowControl/>
              <w:spacing w:line="360" w:lineRule="auto"/>
              <w:jc w:val="center"/>
              <w:rPr>
                <w:rFonts w:ascii="仿宋" w:hAnsi="仿宋" w:eastAsia="仿宋" w:cs="仿宋"/>
                <w:sz w:val="24"/>
                <w:szCs w:val="24"/>
              </w:rPr>
            </w:pPr>
            <w:r>
              <w:rPr>
                <w:rFonts w:hint="eastAsia" w:ascii="仿宋" w:hAnsi="仿宋" w:eastAsia="仿宋" w:cs="仿宋"/>
                <w:sz w:val="24"/>
                <w:szCs w:val="24"/>
              </w:rPr>
              <w:t>3分</w:t>
            </w:r>
          </w:p>
        </w:tc>
        <w:tc>
          <w:tcPr>
            <w:tcW w:w="5968" w:type="dxa"/>
            <w:tcBorders>
              <w:top w:val="single" w:color="auto" w:sz="4" w:space="0"/>
              <w:left w:val="single" w:color="auto" w:sz="4" w:space="0"/>
              <w:bottom w:val="single" w:color="auto" w:sz="4" w:space="0"/>
              <w:right w:val="single" w:color="auto" w:sz="4" w:space="0"/>
            </w:tcBorders>
            <w:vAlign w:val="center"/>
          </w:tcPr>
          <w:p w14:paraId="5815DC60">
            <w:pPr>
              <w:pStyle w:val="9"/>
              <w:spacing w:line="360" w:lineRule="auto"/>
              <w:ind w:left="0" w:leftChars="0"/>
              <w:rPr>
                <w:rFonts w:ascii="仿宋" w:hAnsi="仿宋" w:eastAsia="仿宋" w:cs="仿宋"/>
                <w:sz w:val="24"/>
                <w:szCs w:val="24"/>
              </w:rPr>
            </w:pPr>
            <w:r>
              <w:rPr>
                <w:rFonts w:hint="eastAsia" w:ascii="仿宋" w:hAnsi="仿宋" w:eastAsia="仿宋" w:cs="仿宋"/>
                <w:color w:val="000000"/>
                <w:sz w:val="24"/>
                <w:szCs w:val="24"/>
              </w:rPr>
              <w:t>投标人</w:t>
            </w:r>
            <w:r>
              <w:rPr>
                <w:rFonts w:hint="eastAsia" w:ascii="仿宋" w:hAnsi="仿宋" w:eastAsia="仿宋" w:cs="仿宋"/>
                <w:sz w:val="24"/>
                <w:szCs w:val="24"/>
              </w:rPr>
              <w:t>具有软件测试相关发明专利证书（提供复印件并盖章），得3分。</w:t>
            </w:r>
          </w:p>
        </w:tc>
      </w:tr>
      <w:tr w14:paraId="36DF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FD7EDF0">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1</w:t>
            </w:r>
          </w:p>
        </w:tc>
        <w:tc>
          <w:tcPr>
            <w:tcW w:w="1222" w:type="dxa"/>
            <w:tcBorders>
              <w:top w:val="single" w:color="auto" w:sz="4" w:space="0"/>
              <w:left w:val="single" w:color="auto" w:sz="4" w:space="0"/>
              <w:bottom w:val="single" w:color="auto" w:sz="4" w:space="0"/>
              <w:right w:val="single" w:color="auto" w:sz="4" w:space="0"/>
            </w:tcBorders>
            <w:vAlign w:val="center"/>
          </w:tcPr>
          <w:p w14:paraId="49D0035A">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履约能力（客户认可）</w:t>
            </w:r>
          </w:p>
        </w:tc>
        <w:tc>
          <w:tcPr>
            <w:tcW w:w="857" w:type="dxa"/>
            <w:tcBorders>
              <w:top w:val="single" w:color="auto" w:sz="4" w:space="0"/>
              <w:left w:val="single" w:color="auto" w:sz="4" w:space="0"/>
              <w:bottom w:val="single" w:color="auto" w:sz="4" w:space="0"/>
              <w:right w:val="single" w:color="auto" w:sz="4" w:space="0"/>
            </w:tcBorders>
            <w:vAlign w:val="center"/>
          </w:tcPr>
          <w:p w14:paraId="4C1D7494">
            <w:pPr>
              <w:widowControl/>
              <w:spacing w:line="360" w:lineRule="auto"/>
              <w:jc w:val="center"/>
              <w:rPr>
                <w:rFonts w:ascii="仿宋" w:hAnsi="仿宋" w:eastAsia="仿宋" w:cs="仿宋"/>
                <w:sz w:val="24"/>
                <w:szCs w:val="24"/>
              </w:rPr>
            </w:pPr>
            <w:r>
              <w:rPr>
                <w:rFonts w:hint="eastAsia" w:ascii="仿宋" w:hAnsi="仿宋" w:eastAsia="仿宋" w:cs="仿宋"/>
                <w:sz w:val="24"/>
                <w:szCs w:val="24"/>
              </w:rPr>
              <w:t>3分</w:t>
            </w:r>
          </w:p>
        </w:tc>
        <w:tc>
          <w:tcPr>
            <w:tcW w:w="5968" w:type="dxa"/>
            <w:tcBorders>
              <w:top w:val="single" w:color="auto" w:sz="4" w:space="0"/>
              <w:left w:val="single" w:color="auto" w:sz="4" w:space="0"/>
              <w:bottom w:val="single" w:color="auto" w:sz="4" w:space="0"/>
              <w:right w:val="single" w:color="auto" w:sz="4" w:space="0"/>
            </w:tcBorders>
            <w:vAlign w:val="center"/>
          </w:tcPr>
          <w:p w14:paraId="210E2649">
            <w:pPr>
              <w:pStyle w:val="9"/>
              <w:spacing w:line="360" w:lineRule="auto"/>
              <w:ind w:left="0" w:leftChars="0"/>
              <w:rPr>
                <w:rFonts w:ascii="仿宋" w:hAnsi="仿宋" w:eastAsia="仿宋" w:cs="仿宋"/>
                <w:sz w:val="24"/>
                <w:szCs w:val="24"/>
              </w:rPr>
            </w:pPr>
            <w:r>
              <w:rPr>
                <w:rFonts w:hint="eastAsia" w:ascii="仿宋" w:hAnsi="仿宋" w:eastAsia="仿宋" w:cs="仿宋"/>
                <w:sz w:val="24"/>
                <w:szCs w:val="24"/>
              </w:rPr>
              <w:t>投标人愿意承诺在提供项目第三方测试服务的基础上，并向招标人提供数据安全风险评估服务和密码应用安全性评估服务，并出具相应客户认可的评估报告,承诺得3分；不承诺不得分。</w:t>
            </w:r>
          </w:p>
        </w:tc>
      </w:tr>
    </w:tbl>
    <w:p w14:paraId="77C6F524">
      <w:pPr>
        <w:spacing w:line="360" w:lineRule="auto"/>
        <w:rPr>
          <w:u w:val="single"/>
        </w:rPr>
      </w:pPr>
      <w:r>
        <w:rPr>
          <w:u w:val="single"/>
        </w:rPr>
        <w:t>2.小微企业价格扣除</w:t>
      </w:r>
    </w:p>
    <w:p w14:paraId="4AF90CE3">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0785FE05">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1018879">
      <w:pPr>
        <w:spacing w:line="360" w:lineRule="auto"/>
        <w:rPr>
          <w:u w:val="single"/>
        </w:rPr>
      </w:pPr>
      <w:r>
        <w:rPr>
          <w:u w:val="single"/>
        </w:rPr>
        <w:t>3.监狱和戒毒企业的价格扣除</w:t>
      </w:r>
    </w:p>
    <w:p w14:paraId="1285DE3E">
      <w:pPr>
        <w:spacing w:line="360" w:lineRule="auto"/>
        <w:rPr>
          <w:u w:val="single"/>
        </w:rPr>
      </w:pPr>
      <w:r>
        <w:rPr>
          <w:u w:val="single"/>
        </w:rPr>
        <w:t>3.1 本项目对监狱和戒毒企业，给予10%的价格扣除，用扣除后的价格参与评审。</w:t>
      </w:r>
    </w:p>
    <w:p w14:paraId="23732596">
      <w:pPr>
        <w:spacing w:line="360" w:lineRule="auto"/>
        <w:rPr>
          <w:u w:val="single"/>
        </w:rPr>
      </w:pPr>
      <w:r>
        <w:rPr>
          <w:u w:val="single"/>
        </w:rPr>
        <w:t>3.2 监狱企业需提供由省级以上监狱管理局、戒毒管理局（含新疆生产建设兵团）出具的属于监狱企业的证明文件。</w:t>
      </w:r>
    </w:p>
    <w:p w14:paraId="595B7ABE">
      <w:pPr>
        <w:spacing w:line="360" w:lineRule="auto"/>
        <w:rPr>
          <w:u w:val="single"/>
        </w:rPr>
      </w:pPr>
      <w:r>
        <w:rPr>
          <w:u w:val="single"/>
        </w:rPr>
        <w:t>3.3 监狱企业标准请参照《关于政府采购支持监狱企业发展有关问题的通知》（财库〔2014〕68号）。</w:t>
      </w:r>
    </w:p>
    <w:p w14:paraId="2EEC84DF">
      <w:pPr>
        <w:spacing w:line="360" w:lineRule="auto"/>
        <w:rPr>
          <w:u w:val="single"/>
        </w:rPr>
      </w:pPr>
      <w:r>
        <w:rPr>
          <w:u w:val="single"/>
        </w:rPr>
        <w:t>4.残疾人福利性单位的价格扣除</w:t>
      </w:r>
    </w:p>
    <w:p w14:paraId="0C874B3F">
      <w:pPr>
        <w:spacing w:line="360" w:lineRule="auto"/>
        <w:rPr>
          <w:u w:val="single"/>
        </w:rPr>
      </w:pPr>
      <w:r>
        <w:rPr>
          <w:u w:val="single"/>
        </w:rPr>
        <w:t>4.1 本项目对残疾人福利性单位，给予10%的价格扣除，用扣除后的价格参与评审。</w:t>
      </w:r>
    </w:p>
    <w:p w14:paraId="439CA50E">
      <w:pPr>
        <w:spacing w:line="360" w:lineRule="auto"/>
        <w:rPr>
          <w:u w:val="single"/>
        </w:rPr>
      </w:pPr>
      <w:r>
        <w:rPr>
          <w:u w:val="single"/>
        </w:rPr>
        <w:t>4.2 残疾人福利性单位需提供《残疾人福利性单位声明函》</w:t>
      </w:r>
    </w:p>
    <w:p w14:paraId="34AE724D">
      <w:pPr>
        <w:spacing w:line="360" w:lineRule="auto"/>
        <w:rPr>
          <w:u w:val="single"/>
        </w:rPr>
      </w:pPr>
      <w:r>
        <w:rPr>
          <w:u w:val="single"/>
        </w:rPr>
        <w:t>4.3 残疾人福利性单位标准请参照《关于促进残疾人就业政府采购政策的通知》（财库〔2017〕141号）。</w:t>
      </w:r>
    </w:p>
    <w:p w14:paraId="4BED81EF">
      <w:pPr>
        <w:spacing w:line="360" w:lineRule="auto"/>
      </w:pPr>
      <w:r>
        <w:rPr>
          <w:u w:val="single"/>
        </w:rPr>
        <w:t>5. 监狱企业、残疾人福利性单位属于小型、微型企业的，不重复享受政策。</w:t>
      </w:r>
    </w:p>
    <w:p w14:paraId="23A153FE">
      <w:pPr>
        <w:spacing w:line="360" w:lineRule="auto"/>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4C0D7DD7">
      <w:pPr>
        <w:widowControl/>
        <w:spacing w:line="360" w:lineRule="auto"/>
        <w:jc w:val="center"/>
        <w:outlineLvl w:val="0"/>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22A9EA30">
      <w:pPr>
        <w:pStyle w:val="3"/>
        <w:spacing w:before="0" w:after="0" w:line="360" w:lineRule="auto"/>
        <w:rPr>
          <w:rFonts w:ascii="黑体" w:hAnsi="黑体" w:cs="宋体"/>
          <w:b w:val="0"/>
          <w:sz w:val="24"/>
          <w:szCs w:val="28"/>
        </w:rPr>
      </w:pPr>
      <w:r>
        <w:rPr>
          <w:rFonts w:hint="eastAsia" w:ascii="黑体" w:hAnsi="黑体" w:cs="宋体"/>
          <w:b w:val="0"/>
          <w:sz w:val="24"/>
          <w:szCs w:val="28"/>
        </w:rPr>
        <w:t>一、项目概况</w:t>
      </w:r>
    </w:p>
    <w:p w14:paraId="7A0D608E">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根据南京市数据局要求，全市信息化建设需委托第三方进行验收评测服务，包括功能测试、性能测试、安全测试等第三方检测服务，同时为项目提供</w:t>
      </w:r>
      <w:r>
        <w:rPr>
          <w:rFonts w:hint="eastAsia" w:ascii="仿宋" w:hAnsi="仿宋" w:eastAsia="仿宋" w:cs="仿宋"/>
          <w:szCs w:val="24"/>
        </w:rPr>
        <w:t>数据安全风险评估服务和密码应用安全性评估服务</w:t>
      </w:r>
      <w:r>
        <w:rPr>
          <w:rFonts w:hint="eastAsia" w:ascii="仿宋" w:hAnsi="仿宋" w:eastAsia="仿宋" w:cs="仿宋"/>
          <w:color w:val="000000"/>
          <w:szCs w:val="24"/>
        </w:rPr>
        <w:t>。</w:t>
      </w:r>
    </w:p>
    <w:p w14:paraId="7FC78E5F">
      <w:pPr>
        <w:pStyle w:val="3"/>
        <w:spacing w:before="0" w:after="0" w:line="360" w:lineRule="auto"/>
        <w:rPr>
          <w:rFonts w:ascii="黑体" w:hAnsi="黑体" w:cs="宋体"/>
          <w:b w:val="0"/>
          <w:sz w:val="24"/>
          <w:szCs w:val="28"/>
        </w:rPr>
      </w:pPr>
      <w:r>
        <w:rPr>
          <w:rFonts w:hint="eastAsia" w:ascii="黑体" w:hAnsi="黑体" w:cs="宋体"/>
          <w:b w:val="0"/>
          <w:sz w:val="24"/>
          <w:szCs w:val="28"/>
        </w:rPr>
        <w:t>二、服务内容</w:t>
      </w:r>
    </w:p>
    <w:p w14:paraId="1C85AF86">
      <w:pPr>
        <w:pStyle w:val="7"/>
        <w:wordWrap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针对采购人建设的“南京智慧疾控流行病学调查接触者追综管理模块”及“智慧疾控综合管理平台（二期）”项目，按照GB/T25000.51-2016《系统与软件工程系统与软件质量要求和评价（SQuaRE）第51部分：就绪可用软件产品（RUSP）的质量要求和测试细则》要求，测试本项目各子系统的功能性、性能效率，最终提交带有CNAS/CMA标识的第三方检测报告。</w:t>
      </w:r>
    </w:p>
    <w:p w14:paraId="5D4EBFB5">
      <w:pPr>
        <w:pStyle w:val="7"/>
        <w:wordWrap w:val="0"/>
        <w:adjustRightInd w:val="0"/>
        <w:snapToGrid w:val="0"/>
        <w:spacing w:after="0" w:line="360" w:lineRule="auto"/>
        <w:ind w:firstLine="480" w:firstLineChars="200"/>
        <w:textAlignment w:val="baseline"/>
        <w:rPr>
          <w:rFonts w:ascii="仿宋" w:hAnsi="仿宋" w:eastAsia="仿宋" w:cs="仿宋"/>
          <w:szCs w:val="24"/>
        </w:rPr>
      </w:pPr>
      <w:r>
        <w:rPr>
          <w:rFonts w:hint="eastAsia" w:ascii="仿宋" w:hAnsi="仿宋" w:eastAsia="仿宋" w:cs="仿宋"/>
          <w:szCs w:val="24"/>
        </w:rPr>
        <w:t>根据</w:t>
      </w:r>
      <w:r>
        <w:rPr>
          <w:rFonts w:hint="eastAsia" w:ascii="仿宋_GB2312" w:hAnsi="仿宋_GB2312" w:eastAsia="仿宋_GB2312" w:cs="仿宋_GB2312"/>
          <w:spacing w:val="-2"/>
        </w:rPr>
        <w:t>《中华人民共和国数据安全法》，</w:t>
      </w:r>
      <w:r>
        <w:rPr>
          <w:rFonts w:hint="eastAsia" w:ascii="仿宋" w:hAnsi="仿宋" w:eastAsia="仿宋" w:cs="仿宋"/>
          <w:szCs w:val="24"/>
        </w:rPr>
        <w:t>针对“南京市智慧疾控综合管理平台（一期）智慧疾控基础平台模块系统”项目进行数据安全风险评估,保障被评估业务的数据资产的机密性、完整性、可用性及可控性。评估内容包括数据资产、数据应用场景、面临威胁、脆弱性以及已有安全措施等各方面，最终提交《数据安全风险评估报告》。</w:t>
      </w:r>
    </w:p>
    <w:p w14:paraId="634058D1">
      <w:pPr>
        <w:pStyle w:val="7"/>
        <w:wordWrap w:val="0"/>
        <w:adjustRightInd w:val="0"/>
        <w:snapToGrid w:val="0"/>
        <w:spacing w:after="0" w:line="360" w:lineRule="auto"/>
        <w:ind w:firstLine="480" w:firstLineChars="200"/>
        <w:textAlignment w:val="baseline"/>
        <w:rPr>
          <w:rFonts w:ascii="仿宋" w:hAnsi="仿宋" w:eastAsia="仿宋" w:cs="仿宋"/>
          <w:szCs w:val="24"/>
        </w:rPr>
      </w:pPr>
      <w:r>
        <w:rPr>
          <w:rFonts w:hint="eastAsia" w:ascii="仿宋" w:hAnsi="仿宋" w:eastAsia="仿宋" w:cs="仿宋"/>
          <w:szCs w:val="24"/>
        </w:rPr>
        <w:t>根据《中华人民共和国网络安全法》、《中华人民共和国密码法》等相关文件要求，对“南京市智慧疾控综合管理平台（一期）智慧疾控基础平台模块系统”进行密码应用安全性评估，并提交《密码应用安全性评估报告》。</w:t>
      </w:r>
    </w:p>
    <w:p w14:paraId="4E435E03">
      <w:pPr>
        <w:pStyle w:val="3"/>
        <w:spacing w:before="0" w:after="0" w:line="360" w:lineRule="auto"/>
        <w:rPr>
          <w:rFonts w:ascii="黑体" w:hAnsi="黑体" w:cs="宋体"/>
          <w:b w:val="0"/>
          <w:sz w:val="24"/>
          <w:szCs w:val="28"/>
        </w:rPr>
      </w:pPr>
      <w:r>
        <w:rPr>
          <w:rFonts w:hint="eastAsia" w:ascii="黑体" w:hAnsi="黑体" w:cs="宋体"/>
          <w:b w:val="0"/>
          <w:sz w:val="24"/>
          <w:szCs w:val="28"/>
        </w:rPr>
        <w:t>三、软件服务范围</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505"/>
        <w:gridCol w:w="2616"/>
        <w:gridCol w:w="3718"/>
        <w:gridCol w:w="1678"/>
      </w:tblGrid>
      <w:tr w14:paraId="7297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shd w:val="clear" w:color="auto" w:fill="auto"/>
            <w:vAlign w:val="center"/>
          </w:tcPr>
          <w:p w14:paraId="12850F8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547" w:type="dxa"/>
            <w:shd w:val="clear" w:color="auto" w:fill="auto"/>
            <w:vAlign w:val="center"/>
          </w:tcPr>
          <w:p w14:paraId="340C8EA0">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项目名称</w:t>
            </w:r>
          </w:p>
        </w:tc>
        <w:tc>
          <w:tcPr>
            <w:tcW w:w="3619" w:type="dxa"/>
            <w:shd w:val="clear" w:color="auto" w:fill="auto"/>
            <w:vAlign w:val="center"/>
          </w:tcPr>
          <w:p w14:paraId="348C602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系统名称</w:t>
            </w:r>
          </w:p>
        </w:tc>
        <w:tc>
          <w:tcPr>
            <w:tcW w:w="1633" w:type="dxa"/>
            <w:shd w:val="clear" w:color="auto" w:fill="auto"/>
            <w:vAlign w:val="center"/>
          </w:tcPr>
          <w:p w14:paraId="4255E57A">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服务范围</w:t>
            </w:r>
          </w:p>
        </w:tc>
      </w:tr>
      <w:tr w14:paraId="2A5E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73" w:hRule="atLeast"/>
          <w:jc w:val="center"/>
        </w:trPr>
        <w:tc>
          <w:tcPr>
            <w:tcW w:w="492" w:type="dxa"/>
            <w:shd w:val="clear" w:color="auto" w:fill="auto"/>
            <w:vAlign w:val="center"/>
          </w:tcPr>
          <w:p w14:paraId="79D259A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2547" w:type="dxa"/>
            <w:shd w:val="clear" w:color="auto" w:fill="auto"/>
            <w:vAlign w:val="center"/>
          </w:tcPr>
          <w:p w14:paraId="65AA976E">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南京智慧疾控流行病学调查接触者追综管理模块</w:t>
            </w:r>
          </w:p>
        </w:tc>
        <w:tc>
          <w:tcPr>
            <w:tcW w:w="3619" w:type="dxa"/>
            <w:shd w:val="clear" w:color="auto" w:fill="auto"/>
            <w:vAlign w:val="center"/>
          </w:tcPr>
          <w:p w14:paraId="404A1C1D">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南京智慧疾控流行病学调查接触者追综管理模块</w:t>
            </w:r>
          </w:p>
        </w:tc>
        <w:tc>
          <w:tcPr>
            <w:tcW w:w="1633" w:type="dxa"/>
            <w:vMerge w:val="restart"/>
            <w:shd w:val="clear" w:color="auto" w:fill="auto"/>
            <w:vAlign w:val="center"/>
          </w:tcPr>
          <w:p w14:paraId="20B56C3E">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功能测试、性能测试</w:t>
            </w:r>
          </w:p>
        </w:tc>
      </w:tr>
      <w:tr w14:paraId="0576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restart"/>
            <w:shd w:val="clear" w:color="auto" w:fill="auto"/>
            <w:vAlign w:val="center"/>
          </w:tcPr>
          <w:p w14:paraId="76AFABEB">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2547" w:type="dxa"/>
            <w:vMerge w:val="restart"/>
            <w:shd w:val="clear" w:color="auto" w:fill="auto"/>
            <w:vAlign w:val="center"/>
          </w:tcPr>
          <w:p w14:paraId="70A733C5">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智慧疾控综合管理平台（二期）</w:t>
            </w:r>
          </w:p>
        </w:tc>
        <w:tc>
          <w:tcPr>
            <w:tcW w:w="3619" w:type="dxa"/>
            <w:shd w:val="clear" w:color="auto" w:fill="auto"/>
            <w:vAlign w:val="center"/>
          </w:tcPr>
          <w:p w14:paraId="6B2D4453">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结核病疫情处置信息系统模块</w:t>
            </w:r>
          </w:p>
        </w:tc>
        <w:tc>
          <w:tcPr>
            <w:tcW w:w="1633" w:type="dxa"/>
            <w:vMerge w:val="continue"/>
            <w:shd w:val="clear" w:color="auto" w:fill="auto"/>
            <w:vAlign w:val="center"/>
          </w:tcPr>
          <w:p w14:paraId="20BF4EDC">
            <w:pPr>
              <w:widowControl/>
              <w:spacing w:line="360" w:lineRule="auto"/>
              <w:jc w:val="center"/>
              <w:textAlignment w:val="center"/>
              <w:rPr>
                <w:rFonts w:ascii="仿宋" w:hAnsi="仿宋" w:eastAsia="仿宋" w:cs="仿宋"/>
                <w:color w:val="000000"/>
                <w:kern w:val="0"/>
                <w:sz w:val="24"/>
                <w:szCs w:val="24"/>
              </w:rPr>
            </w:pPr>
          </w:p>
        </w:tc>
      </w:tr>
      <w:tr w14:paraId="43EF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09752D10">
            <w:pPr>
              <w:spacing w:line="360" w:lineRule="auto"/>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40DBFAC2">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2FF45DF8">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艾滋病自愿咨询检测门诊信息系统模块</w:t>
            </w:r>
          </w:p>
        </w:tc>
        <w:tc>
          <w:tcPr>
            <w:tcW w:w="1633" w:type="dxa"/>
            <w:vMerge w:val="continue"/>
            <w:shd w:val="clear" w:color="auto" w:fill="auto"/>
            <w:vAlign w:val="center"/>
          </w:tcPr>
          <w:p w14:paraId="218E1D41">
            <w:pPr>
              <w:widowControl/>
              <w:spacing w:line="360" w:lineRule="auto"/>
              <w:jc w:val="center"/>
              <w:textAlignment w:val="center"/>
              <w:rPr>
                <w:rFonts w:ascii="仿宋" w:hAnsi="仿宋" w:eastAsia="仿宋" w:cs="仿宋"/>
                <w:color w:val="000000"/>
                <w:kern w:val="0"/>
                <w:sz w:val="24"/>
                <w:szCs w:val="24"/>
              </w:rPr>
            </w:pPr>
          </w:p>
        </w:tc>
      </w:tr>
      <w:tr w14:paraId="36C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5751E3DD">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11C138CD">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176C78D0">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学较食品营养健康管理系统模块</w:t>
            </w:r>
          </w:p>
        </w:tc>
        <w:tc>
          <w:tcPr>
            <w:tcW w:w="1633" w:type="dxa"/>
            <w:vMerge w:val="continue"/>
            <w:shd w:val="clear" w:color="auto" w:fill="auto"/>
            <w:vAlign w:val="center"/>
          </w:tcPr>
          <w:p w14:paraId="2EEA2F12">
            <w:pPr>
              <w:widowControl/>
              <w:spacing w:line="360" w:lineRule="auto"/>
              <w:jc w:val="center"/>
              <w:textAlignment w:val="center"/>
              <w:rPr>
                <w:rFonts w:ascii="仿宋" w:hAnsi="仿宋" w:eastAsia="仿宋" w:cs="仿宋"/>
                <w:color w:val="000000"/>
                <w:kern w:val="0"/>
                <w:sz w:val="24"/>
                <w:szCs w:val="24"/>
              </w:rPr>
            </w:pPr>
          </w:p>
        </w:tc>
      </w:tr>
      <w:tr w14:paraId="3BBB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6DF5B1C1">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68890840">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75BB0181">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信息采集与数据分析模块</w:t>
            </w:r>
          </w:p>
        </w:tc>
        <w:tc>
          <w:tcPr>
            <w:tcW w:w="1633" w:type="dxa"/>
            <w:vMerge w:val="continue"/>
            <w:shd w:val="clear" w:color="auto" w:fill="auto"/>
            <w:vAlign w:val="center"/>
          </w:tcPr>
          <w:p w14:paraId="5F31C6A2">
            <w:pPr>
              <w:widowControl/>
              <w:spacing w:line="360" w:lineRule="auto"/>
              <w:jc w:val="center"/>
              <w:textAlignment w:val="center"/>
              <w:rPr>
                <w:rFonts w:ascii="仿宋" w:hAnsi="仿宋" w:eastAsia="仿宋" w:cs="仿宋"/>
                <w:color w:val="000000"/>
                <w:kern w:val="0"/>
                <w:sz w:val="24"/>
                <w:szCs w:val="24"/>
              </w:rPr>
            </w:pPr>
          </w:p>
        </w:tc>
      </w:tr>
      <w:tr w14:paraId="4F37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5402D4D5">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75954D3A">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1AFF9C1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数字化慢病管理系统模块</w:t>
            </w:r>
          </w:p>
        </w:tc>
        <w:tc>
          <w:tcPr>
            <w:tcW w:w="1633" w:type="dxa"/>
            <w:vMerge w:val="continue"/>
            <w:shd w:val="clear" w:color="auto" w:fill="auto"/>
            <w:vAlign w:val="center"/>
          </w:tcPr>
          <w:p w14:paraId="57671C12">
            <w:pPr>
              <w:widowControl/>
              <w:spacing w:line="360" w:lineRule="auto"/>
              <w:jc w:val="center"/>
              <w:textAlignment w:val="center"/>
              <w:rPr>
                <w:rFonts w:ascii="仿宋" w:hAnsi="仿宋" w:eastAsia="仿宋" w:cs="仿宋"/>
                <w:color w:val="000000"/>
                <w:kern w:val="0"/>
                <w:sz w:val="24"/>
                <w:szCs w:val="24"/>
              </w:rPr>
            </w:pPr>
          </w:p>
        </w:tc>
      </w:tr>
      <w:tr w14:paraId="562C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7CB86F85">
            <w:pPr>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00CF4DA3">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2494C6F3">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慢病危险因素监测及随访信息管理模块</w:t>
            </w:r>
          </w:p>
        </w:tc>
        <w:tc>
          <w:tcPr>
            <w:tcW w:w="1633" w:type="dxa"/>
            <w:vMerge w:val="continue"/>
            <w:shd w:val="clear" w:color="auto" w:fill="auto"/>
            <w:vAlign w:val="center"/>
          </w:tcPr>
          <w:p w14:paraId="18863C84">
            <w:pPr>
              <w:widowControl/>
              <w:spacing w:line="360" w:lineRule="auto"/>
              <w:jc w:val="center"/>
              <w:textAlignment w:val="center"/>
              <w:rPr>
                <w:rFonts w:ascii="仿宋" w:hAnsi="仿宋" w:eastAsia="仿宋" w:cs="仿宋"/>
                <w:color w:val="000000"/>
                <w:kern w:val="0"/>
                <w:sz w:val="24"/>
                <w:szCs w:val="24"/>
              </w:rPr>
            </w:pPr>
          </w:p>
        </w:tc>
      </w:tr>
      <w:tr w14:paraId="58E3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vMerge w:val="continue"/>
            <w:shd w:val="clear" w:color="auto" w:fill="auto"/>
            <w:vAlign w:val="center"/>
          </w:tcPr>
          <w:p w14:paraId="155CA06C">
            <w:pPr>
              <w:widowControl/>
              <w:spacing w:line="360" w:lineRule="auto"/>
              <w:jc w:val="center"/>
              <w:textAlignment w:val="center"/>
              <w:rPr>
                <w:rFonts w:ascii="仿宋" w:hAnsi="仿宋" w:eastAsia="仿宋" w:cs="仿宋"/>
                <w:color w:val="000000"/>
                <w:kern w:val="0"/>
                <w:sz w:val="24"/>
                <w:szCs w:val="24"/>
                <w:lang w:bidi="ar"/>
              </w:rPr>
            </w:pPr>
          </w:p>
        </w:tc>
        <w:tc>
          <w:tcPr>
            <w:tcW w:w="2547" w:type="dxa"/>
            <w:vMerge w:val="continue"/>
            <w:shd w:val="clear" w:color="auto" w:fill="auto"/>
            <w:vAlign w:val="center"/>
          </w:tcPr>
          <w:p w14:paraId="525C8F8A">
            <w:pPr>
              <w:widowControl/>
              <w:spacing w:line="360" w:lineRule="auto"/>
              <w:jc w:val="center"/>
              <w:textAlignment w:val="center"/>
              <w:rPr>
                <w:rFonts w:ascii="仿宋" w:hAnsi="仿宋" w:eastAsia="仿宋" w:cs="仿宋"/>
                <w:color w:val="000000"/>
                <w:kern w:val="0"/>
                <w:sz w:val="24"/>
                <w:szCs w:val="24"/>
              </w:rPr>
            </w:pPr>
          </w:p>
        </w:tc>
        <w:tc>
          <w:tcPr>
            <w:tcW w:w="3619" w:type="dxa"/>
            <w:shd w:val="clear" w:color="auto" w:fill="auto"/>
            <w:vAlign w:val="center"/>
          </w:tcPr>
          <w:p w14:paraId="6E95CE99">
            <w:pPr>
              <w:widowControl/>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rPr>
              <w:t>疾病负担研究与决策支持集成平台</w:t>
            </w:r>
          </w:p>
        </w:tc>
        <w:tc>
          <w:tcPr>
            <w:tcW w:w="1633" w:type="dxa"/>
            <w:vMerge w:val="continue"/>
            <w:shd w:val="clear" w:color="auto" w:fill="auto"/>
            <w:vAlign w:val="center"/>
          </w:tcPr>
          <w:p w14:paraId="39C6FD03">
            <w:pPr>
              <w:widowControl/>
              <w:spacing w:line="360" w:lineRule="auto"/>
              <w:jc w:val="center"/>
              <w:textAlignment w:val="center"/>
              <w:rPr>
                <w:rFonts w:ascii="仿宋" w:hAnsi="仿宋" w:eastAsia="仿宋" w:cs="仿宋"/>
                <w:color w:val="000000"/>
                <w:kern w:val="0"/>
                <w:sz w:val="24"/>
                <w:szCs w:val="24"/>
              </w:rPr>
            </w:pPr>
          </w:p>
        </w:tc>
      </w:tr>
      <w:tr w14:paraId="0474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jc w:val="center"/>
        </w:trPr>
        <w:tc>
          <w:tcPr>
            <w:tcW w:w="492" w:type="dxa"/>
            <w:shd w:val="clear" w:color="auto" w:fill="auto"/>
            <w:vAlign w:val="center"/>
          </w:tcPr>
          <w:p w14:paraId="76BD05FB">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547" w:type="dxa"/>
            <w:shd w:val="clear" w:color="auto" w:fill="auto"/>
            <w:vAlign w:val="center"/>
          </w:tcPr>
          <w:p w14:paraId="3F5E81FD">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南京市智慧疾控综合管理平台（一期）智慧疾控基础平台模块系统</w:t>
            </w:r>
          </w:p>
        </w:tc>
        <w:tc>
          <w:tcPr>
            <w:tcW w:w="3619" w:type="dxa"/>
            <w:shd w:val="clear" w:color="auto" w:fill="auto"/>
            <w:vAlign w:val="center"/>
          </w:tcPr>
          <w:p w14:paraId="3B1BC100">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南京市智慧疾控综合管理平台（一期）智慧疾控基础平台模块系统</w:t>
            </w:r>
          </w:p>
        </w:tc>
        <w:tc>
          <w:tcPr>
            <w:tcW w:w="1633" w:type="dxa"/>
            <w:shd w:val="clear" w:color="auto" w:fill="auto"/>
            <w:vAlign w:val="center"/>
          </w:tcPr>
          <w:p w14:paraId="5382B9C5">
            <w:pPr>
              <w:widowControl/>
              <w:spacing w:line="360" w:lineRule="auto"/>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密码和数据风险评估服务</w:t>
            </w:r>
          </w:p>
        </w:tc>
      </w:tr>
    </w:tbl>
    <w:p w14:paraId="046093CC">
      <w:pPr>
        <w:pStyle w:val="3"/>
        <w:spacing w:before="0" w:after="0" w:line="360" w:lineRule="auto"/>
        <w:rPr>
          <w:rFonts w:ascii="黑体" w:hAnsi="黑体" w:cs="宋体"/>
          <w:b w:val="0"/>
          <w:sz w:val="24"/>
          <w:szCs w:val="28"/>
        </w:rPr>
      </w:pPr>
      <w:r>
        <w:rPr>
          <w:rFonts w:hint="eastAsia" w:ascii="黑体" w:hAnsi="黑体" w:cs="宋体"/>
          <w:b w:val="0"/>
          <w:sz w:val="24"/>
          <w:szCs w:val="28"/>
        </w:rPr>
        <w:t>四、服务目标</w:t>
      </w:r>
    </w:p>
    <w:p w14:paraId="0DBD2838">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本项目是评测是否满足招标文件、投标文件以及开发过程中形成的需求规格说明书、软件开发设计文档、软件产品规格说明等相关文档的要求，提高所开发软件系统的质量，确保软件安全、易用，降低后期运行风险。第三方评测机构应按照采购人要求对系统进行功能性、性能效率、安全性等进行测评，同时为项目提供数据安全风险评估和密码应用安全评估服务，根据结果提供第三方评测报告和评估报告，对系统建设的质量把关，确保平台建设实现预期建设目标，符合设计需求，符合信息化技术的发展方向，满足业务的应用和开展。</w:t>
      </w:r>
    </w:p>
    <w:p w14:paraId="5161441C">
      <w:pPr>
        <w:pStyle w:val="3"/>
        <w:spacing w:before="0" w:after="0" w:line="360" w:lineRule="auto"/>
        <w:rPr>
          <w:rFonts w:ascii="黑体" w:hAnsi="黑体" w:cs="宋体"/>
          <w:b w:val="0"/>
          <w:sz w:val="24"/>
          <w:szCs w:val="28"/>
        </w:rPr>
      </w:pPr>
      <w:r>
        <w:rPr>
          <w:rFonts w:hint="eastAsia" w:ascii="黑体" w:hAnsi="黑体" w:cs="宋体"/>
          <w:b w:val="0"/>
          <w:sz w:val="24"/>
          <w:szCs w:val="28"/>
        </w:rPr>
        <w:t>五、服务要求</w:t>
      </w:r>
    </w:p>
    <w:p w14:paraId="6035F9B5">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（1）技术方案要求</w:t>
      </w:r>
    </w:p>
    <w:p w14:paraId="486AEFA0">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中标人应针对测试范围和测试内容进行分析，制定完整的测试方案，包括但不限于测试指标、测试方法、测试环境等内容。</w:t>
      </w:r>
    </w:p>
    <w:p w14:paraId="51CE288F">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中标人应针对本项目制定完整的实施方案，包括但不限于进度安排、人力资源计划、质量保证、风险管理、沟通管理等内容。</w:t>
      </w:r>
    </w:p>
    <w:p w14:paraId="7C3F27D2">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（2）质量要求</w:t>
      </w:r>
    </w:p>
    <w:p w14:paraId="46CCFD60">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测试报告内容及数据应准确、完整、客观、公正；</w:t>
      </w:r>
    </w:p>
    <w:p w14:paraId="6532DB1F">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测试服务质量应符合评测规范中的相关要求，且技术评测结果及报告必须提交最终用户确认。</w:t>
      </w:r>
    </w:p>
    <w:p w14:paraId="3FF64399">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（3）评测任务要求</w:t>
      </w:r>
    </w:p>
    <w:p w14:paraId="61CDB7AA">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围绕评测工作目标，供应商需完成的任务包括但不限于以下几个方面：</w:t>
      </w:r>
    </w:p>
    <w:p w14:paraId="0B329EB4">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编写测试方案，对项目测试内容进行阐述，并提出项目对应的测试通过准则及测试实施计划。</w:t>
      </w:r>
    </w:p>
    <w:p w14:paraId="44DF0AA8">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开展基础的系统检测，提供测试和质量保证服务,根据平台的需求及业务功能特点，对各数据进行检测，对标准进行较验及对应用系统各软件进行功能测试；是否可提供稳定、可靠的服务。</w:t>
      </w:r>
    </w:p>
    <w:p w14:paraId="12408A4C">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完成项目的验收测试工作后，根据测试情况，出具加盖CMA和CNAS的验收评测报告。</w:t>
      </w:r>
    </w:p>
    <w:p w14:paraId="1C9F3C63">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（4）评测内容要求</w:t>
      </w:r>
    </w:p>
    <w:p w14:paraId="0062A168">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在总体开发完成后，进行验收测试，即确认提供的产品完全达到了预期的用途，对软件进行评价以证实它是否和软件需求相一致；</w:t>
      </w:r>
    </w:p>
    <w:p w14:paraId="39BD6CBD">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对于测试中发现的问题，经开发单位整改后，检测机构需要进行回归测试，在修改缺陷后验证是否有新的缺陷引入。</w:t>
      </w:r>
    </w:p>
    <w:p w14:paraId="3C8477D7">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评测工作具体内容包括但不限于：</w:t>
      </w:r>
    </w:p>
    <w:p w14:paraId="74CD2DF7">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1）功能性测试</w:t>
      </w:r>
    </w:p>
    <w:p w14:paraId="164CEB2B">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软件系统的功能性是指当软件在指定条件下使用时，软件产品提供满足明确和隐含要求的功能与能力。根据GB/T25000.51-2016《系统与软件工程系统与软件质量要求和评价（SQuaRE）第51部分：就绪可用软件产品（RUSP）的质量要求和测试细则》的要求，功能性测试主要包括以下3方面：</w:t>
      </w:r>
    </w:p>
    <w:p w14:paraId="5E480673">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适合性：分析被测对象功能需求，依据《需求规格说明书》要求验证系统是否实现了全部需求，确保各项功能是可执行的；对系统业务数据进行严格的正确性测试（包括数据是否超出正常的值范围、数据准确性等），确保系统实时数据和历史数据准确无误。</w:t>
      </w:r>
    </w:p>
    <w:p w14:paraId="7E9646F8">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功能完备性：在给定的限制范围内，使用相应的环境设施、器材和数据，测试用户文档集中所陈述的所有功能是否全部覆盖；测试软件是否符合产品说明所引用的任何需求文档中的全部要求。</w:t>
      </w:r>
    </w:p>
    <w:p w14:paraId="093A9CBA">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功能正确性：对具有功能正确性要求的功能，依据等价类法和边界值法选定具有覆盖性的测试数据作为输入，设计用例，并计算出这些输入的预期结果。执行用例，记录软件的实际输入结果，比较实际结果与预期结果间的差异；根据软件计算功能的精度（如数据处理精度、时间控制精度、时间测量精度）要求，设计测试用例，验证软件运算功能结果精度及有效位，是否与用户需求或需求规格说明书中对精度和有效位的要求相一致。</w:t>
      </w:r>
    </w:p>
    <w:p w14:paraId="25CF0E43">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2）性能效率测试</w:t>
      </w:r>
    </w:p>
    <w:p w14:paraId="61882D5C">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根据GB/T25000.51-2016《系统与软件工程系统与软件质量要求和评价（SQuaRE）第51部分：就绪可用软件产品（RUSP）的质量要求和测试细则》的要求对软件的性能效率进行测试。性能效率测试主要包括以下方面：</w:t>
      </w:r>
    </w:p>
    <w:p w14:paraId="6E7D1C95">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平均响应时间：根据软件产品的特性，依据需求规格说明书的要求，选取数据量较大和用户操作最频繁的测试场景，设计测试用例并利用性能测试工具，测试软件产品在一定量用户并发访问时运行典型任务的响应时间。</w:t>
      </w:r>
    </w:p>
    <w:p w14:paraId="018D9F75">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平均吞吐量，根据软件产品的特性，依据需求规格说明书的要求，选取数据量较大和用户操作最频繁的测试场景，设计测试用例并利用性能测试工具，在多个用户访问时，在一个设定的单位时间内，测试系统能处理的并发任务的平均数量。</w:t>
      </w:r>
    </w:p>
    <w:p w14:paraId="1C8A7994">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资源利用率：在执行并发任务时，通过资源监控工具，监控服务器的CPU和内存占用情况。</w:t>
      </w:r>
    </w:p>
    <w:p w14:paraId="7B37C392">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3）密码风险评估服务</w:t>
      </w:r>
    </w:p>
    <w:p w14:paraId="550AADA8">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依据GB/T39786-2021《信息安全技术信息系统密码应用基本要求》及系统相关密码应用设计、行业标准、测评规范，协助采购人完成信息系统密码应用方案设计，从物理和环境安全、网络和通信安全、设备和计算安全、应用和数据安全、管理制度、人员管理、建设运行、应急处置等方面进行密码应用规划和设计，为信息系统的安全稳定运行提供高效的密码支撑，满足业务应用的安全需求。</w:t>
      </w:r>
    </w:p>
    <w:p w14:paraId="5A9E5749">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4）数据风险评估服务</w:t>
      </w:r>
    </w:p>
    <w:p w14:paraId="7847FBCA">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按照国家法律法规、行业监管部门有关规定以及评估标准，对数据处理活动的目的和方式、业务场景、安全保障措施、风险影响等要素，开展数据安全风险评估，重点评估以下内容：</w:t>
      </w:r>
    </w:p>
    <w:p w14:paraId="20A468CC">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数据处理目的、方式、范围是否合法、正当、必要；</w:t>
      </w:r>
    </w:p>
    <w:p w14:paraId="5AB96289">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数据安全管理制度、流程策略的制定和落实情况；</w:t>
      </w:r>
    </w:p>
    <w:p w14:paraId="47F97EDA">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数据安全组织架构、岗位配备和职责履行情况；</w:t>
      </w:r>
    </w:p>
    <w:p w14:paraId="036ABE39">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数据安全技术防护能力建设及应用情况；</w:t>
      </w:r>
    </w:p>
    <w:p w14:paraId="34637B9A">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数据处理活动相关人员是否熟悉数据安全相关政策法规、是否具备数据安全知识技能、是否接受数据安全相关教育培训等情况；</w:t>
      </w:r>
    </w:p>
    <w:p w14:paraId="115D2022">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发生数据遭到篡改、破坏、泄露、丢失或者被非法获取、非法利用等安全事件，对国家安全、公共利益的影响范围、程度等风险；</w:t>
      </w:r>
    </w:p>
    <w:p w14:paraId="7504DF43">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涉及数据提供、委托处理、转移的，数据获取方或受托方的安全保障能力、责任义务约束和履行情况；</w:t>
      </w:r>
    </w:p>
    <w:p w14:paraId="3A284E1C">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涉及国家法律法规中规定需要申报的数据出境安全评估情形，履行数据出境安全评估要求情况。</w:t>
      </w:r>
    </w:p>
    <w:p w14:paraId="7AACA0D8">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（5）人员要求</w:t>
      </w:r>
    </w:p>
    <w:p w14:paraId="77385CB3">
      <w:pPr>
        <w:pStyle w:val="7"/>
        <w:widowControl/>
        <w:kinsoku w:val="0"/>
        <w:autoSpaceDE w:val="0"/>
        <w:autoSpaceDN w:val="0"/>
        <w:adjustRightInd w:val="0"/>
        <w:snapToGrid w:val="0"/>
        <w:spacing w:after="0" w:line="360" w:lineRule="auto"/>
        <w:ind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要求中标人参加本次项目的评测人员不少于2人，测试团队人员一经确定，未经采购人同意，中途不得擅自换人。若确需换人的，更换人员资质不得低于原有人员资质。</w:t>
      </w:r>
    </w:p>
    <w:p w14:paraId="2A518701">
      <w:pPr>
        <w:widowControl/>
        <w:kinsoku w:val="0"/>
        <w:autoSpaceDE w:val="0"/>
        <w:autoSpaceDN w:val="0"/>
        <w:adjustRightInd w:val="0"/>
        <w:snapToGrid w:val="0"/>
        <w:spacing w:line="360" w:lineRule="auto"/>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（6）实施要求</w:t>
      </w:r>
    </w:p>
    <w:p w14:paraId="3D7E76E4">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中标人应根据整体工作计划和安排完成平台评测工作，评测工作的方案应包含但不限于以下要求：</w:t>
      </w:r>
    </w:p>
    <w:p w14:paraId="1BACB833">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完成平台招标范围内所有评测工作；</w:t>
      </w:r>
    </w:p>
    <w:p w14:paraId="0CCED5CB">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项目交付物齐全，符合项目要求及有关标准的规定；</w:t>
      </w:r>
    </w:p>
    <w:p w14:paraId="05303BE6">
      <w:pPr>
        <w:pStyle w:val="7"/>
        <w:widowControl/>
        <w:numPr>
          <w:ilvl w:val="0"/>
          <w:numId w:val="1"/>
        </w:numPr>
        <w:kinsoku w:val="0"/>
        <w:autoSpaceDE w:val="0"/>
        <w:autoSpaceDN w:val="0"/>
        <w:adjustRightInd w:val="0"/>
        <w:snapToGrid w:val="0"/>
        <w:spacing w:after="0" w:line="360" w:lineRule="auto"/>
        <w:ind w:left="0" w:firstLine="480" w:firstLineChars="200"/>
        <w:textAlignment w:val="baseline"/>
        <w:rPr>
          <w:rFonts w:ascii="仿宋" w:hAnsi="仿宋" w:eastAsia="仿宋" w:cs="仿宋"/>
          <w:color w:val="000000"/>
          <w:szCs w:val="24"/>
        </w:rPr>
      </w:pPr>
      <w:r>
        <w:rPr>
          <w:rFonts w:hint="eastAsia" w:ascii="仿宋" w:hAnsi="仿宋" w:eastAsia="仿宋" w:cs="仿宋"/>
          <w:color w:val="000000"/>
          <w:szCs w:val="24"/>
        </w:rPr>
        <w:t>评测报告详实、客观、有法律效力，为平台上线和验收提供重要的参考，促使项目达到使用和验收要求。</w:t>
      </w:r>
    </w:p>
    <w:p w14:paraId="3C4CE686">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（7）保密要求</w:t>
      </w:r>
    </w:p>
    <w:p w14:paraId="16C5579B">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本项目的内容涉及本项目的所有资料都视为内部涉密数据，中标人有责任和义务保证项目所涉及全部内容的保密和安全，不得在其他任何场合以任何手段使用。对于本项目中所涉及的全部内容的安全保密，服务实施前中标人需向采购人提供书面的保密保证。对于中标人未经采购人书面同意，以任何方式和渠道泄露秘密的情况，中标人将承担由此造成的一切损失并承担法律责任。中标人需建立完善的安全和保密体制，在本项目结束后，需将本次安全服务中所使用和拥有的采购人的资料进行归档和清点并归还，对于不能归还的资料进行书面说明由双方进行协商处理，中标人应在项目实施前与采购人签订保密协议。</w:t>
      </w:r>
    </w:p>
    <w:p w14:paraId="06E05ADD">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（8）报价要求</w:t>
      </w:r>
    </w:p>
    <w:p w14:paraId="6AA1020D">
      <w:pPr>
        <w:pStyle w:val="7"/>
        <w:widowControl/>
        <w:spacing w:after="0" w:line="360" w:lineRule="auto"/>
        <w:ind w:firstLine="480" w:firstLineChars="200"/>
        <w:rPr>
          <w:rFonts w:ascii="仿宋" w:hAnsi="仿宋" w:eastAsia="仿宋" w:cs="仿宋"/>
          <w:color w:val="000000"/>
          <w:szCs w:val="24"/>
        </w:rPr>
      </w:pPr>
      <w:r>
        <w:rPr>
          <w:rFonts w:hint="eastAsia" w:ascii="仿宋" w:hAnsi="仿宋" w:eastAsia="仿宋" w:cs="仿宋"/>
          <w:color w:val="000000"/>
          <w:szCs w:val="24"/>
        </w:rPr>
        <w:t>本包别报投标总价，报价包含完成本包项目所产生的一切费用，采购人后期不再追加任何费用，投标人报价时应综合考虑报价风险。</w:t>
      </w:r>
    </w:p>
    <w:p w14:paraId="53EEEE31">
      <w:pPr>
        <w:pStyle w:val="3"/>
        <w:spacing w:before="0" w:after="0" w:line="360" w:lineRule="auto"/>
        <w:rPr>
          <w:rFonts w:ascii="黑体" w:hAnsi="黑体" w:cs="宋体"/>
          <w:b w:val="0"/>
          <w:sz w:val="24"/>
          <w:szCs w:val="28"/>
        </w:rPr>
      </w:pPr>
      <w:r>
        <w:rPr>
          <w:rFonts w:hint="eastAsia" w:ascii="黑体" w:hAnsi="黑体" w:cs="宋体"/>
          <w:b w:val="0"/>
          <w:sz w:val="24"/>
          <w:szCs w:val="28"/>
        </w:rPr>
        <w:t>六、付款条件</w:t>
      </w:r>
    </w:p>
    <w:p w14:paraId="330A2171">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付款方式：项目终验合格且乙方</w:t>
      </w:r>
      <w:r>
        <w:rPr>
          <w:rFonts w:ascii="仿宋" w:hAnsi="仿宋" w:eastAsia="仿宋" w:cs="宋体"/>
          <w:sz w:val="24"/>
          <w:szCs w:val="28"/>
        </w:rPr>
        <w:t>提供发票后</w:t>
      </w:r>
      <w:r>
        <w:rPr>
          <w:rFonts w:hint="eastAsia" w:ascii="仿宋" w:hAnsi="仿宋" w:eastAsia="仿宋" w:cs="宋体"/>
          <w:sz w:val="24"/>
          <w:szCs w:val="28"/>
        </w:rPr>
        <w:t>三十日内支付合同总金额的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7657E8E7">
      <w:pPr>
        <w:widowControl/>
        <w:spacing w:line="360" w:lineRule="auto"/>
        <w:jc w:val="left"/>
        <w:rPr>
          <w:rFonts w:ascii="仿宋" w:hAnsi="仿宋" w:eastAsia="仿宋" w:cs="宋体"/>
          <w:sz w:val="24"/>
          <w:szCs w:val="28"/>
        </w:rPr>
      </w:pPr>
      <w:r>
        <w:rPr>
          <w:rFonts w:hint="eastAsia" w:ascii="仿宋" w:hAnsi="仿宋" w:eastAsia="仿宋" w:cs="宋体"/>
          <w:sz w:val="24"/>
          <w:szCs w:val="28"/>
        </w:rPr>
        <w:br w:type="page"/>
      </w:r>
    </w:p>
    <w:p w14:paraId="510EA67F">
      <w:pPr>
        <w:spacing w:line="360" w:lineRule="auto"/>
        <w:jc w:val="center"/>
        <w:rPr>
          <w:rFonts w:ascii="宋体" w:hAnsi="宋体" w:cs="宋体"/>
          <w:color w:val="000000"/>
          <w:kern w:val="0"/>
          <w:sz w:val="84"/>
          <w:szCs w:val="84"/>
        </w:rPr>
      </w:pPr>
    </w:p>
    <w:p w14:paraId="4279AC59">
      <w:pPr>
        <w:spacing w:line="360" w:lineRule="auto"/>
        <w:jc w:val="center"/>
        <w:rPr>
          <w:rFonts w:ascii="宋体" w:hAnsi="宋体" w:cs="宋体"/>
          <w:color w:val="000000"/>
          <w:kern w:val="0"/>
          <w:sz w:val="84"/>
          <w:szCs w:val="84"/>
        </w:rPr>
      </w:pPr>
    </w:p>
    <w:p w14:paraId="1EE1EFAE">
      <w:pPr>
        <w:spacing w:line="360" w:lineRule="auto"/>
        <w:jc w:val="center"/>
        <w:rPr>
          <w:rFonts w:ascii="宋体" w:hAnsi="宋体" w:cs="宋体"/>
          <w:color w:val="000000"/>
          <w:kern w:val="0"/>
          <w:sz w:val="84"/>
          <w:szCs w:val="84"/>
        </w:rPr>
      </w:pPr>
    </w:p>
    <w:p w14:paraId="1EC9AEA4">
      <w:pPr>
        <w:spacing w:line="360" w:lineRule="auto"/>
        <w:jc w:val="center"/>
      </w:pPr>
      <w:r>
        <w:rPr>
          <w:rFonts w:hint="eastAsia" w:ascii="宋体" w:hAnsi="宋体" w:cs="宋体"/>
          <w:color w:val="000000"/>
          <w:kern w:val="0"/>
          <w:sz w:val="84"/>
          <w:szCs w:val="84"/>
        </w:rPr>
        <w:t>投标文件</w:t>
      </w:r>
    </w:p>
    <w:p w14:paraId="10CDAC58">
      <w:pPr>
        <w:widowControl/>
        <w:spacing w:line="360" w:lineRule="auto"/>
        <w:jc w:val="center"/>
      </w:pPr>
      <w:r>
        <w:rPr>
          <w:rFonts w:hint="eastAsia" w:ascii="宋体" w:hAnsi="宋体" w:cs="宋体"/>
          <w:color w:val="000000"/>
          <w:kern w:val="0"/>
          <w:sz w:val="43"/>
          <w:szCs w:val="43"/>
        </w:rPr>
        <w:t>【正/副本】</w:t>
      </w:r>
    </w:p>
    <w:p w14:paraId="1E9B84B6">
      <w:pPr>
        <w:widowControl/>
        <w:spacing w:line="360" w:lineRule="auto"/>
        <w:jc w:val="left"/>
        <w:rPr>
          <w:rFonts w:ascii="黑体" w:hAnsi="宋体" w:eastAsia="黑体" w:cs="黑体"/>
          <w:color w:val="000000"/>
          <w:kern w:val="0"/>
          <w:sz w:val="28"/>
          <w:szCs w:val="28"/>
        </w:rPr>
      </w:pPr>
    </w:p>
    <w:p w14:paraId="330A2064">
      <w:pPr>
        <w:widowControl/>
        <w:spacing w:line="360" w:lineRule="auto"/>
        <w:jc w:val="left"/>
        <w:rPr>
          <w:rFonts w:ascii="黑体" w:hAnsi="宋体" w:eastAsia="黑体" w:cs="黑体"/>
          <w:color w:val="000000"/>
          <w:kern w:val="0"/>
          <w:sz w:val="28"/>
          <w:szCs w:val="28"/>
        </w:rPr>
      </w:pPr>
    </w:p>
    <w:p w14:paraId="39543F69">
      <w:pPr>
        <w:widowControl/>
        <w:spacing w:line="360" w:lineRule="auto"/>
        <w:jc w:val="center"/>
      </w:pPr>
      <w:r>
        <w:rPr>
          <w:rFonts w:hint="eastAsia" w:ascii="黑体" w:hAnsi="宋体" w:eastAsia="黑体" w:cs="黑体"/>
          <w:color w:val="000000"/>
          <w:kern w:val="0"/>
          <w:sz w:val="28"/>
          <w:szCs w:val="28"/>
        </w:rPr>
        <w:t>（项目名称）</w:t>
      </w:r>
    </w:p>
    <w:p w14:paraId="3ACBEED7">
      <w:pPr>
        <w:widowControl/>
        <w:spacing w:line="360" w:lineRule="auto"/>
        <w:jc w:val="left"/>
      </w:pPr>
    </w:p>
    <w:p w14:paraId="19B2C22C">
      <w:pPr>
        <w:pStyle w:val="27"/>
        <w:spacing w:line="360" w:lineRule="auto"/>
        <w:ind w:firstLine="420"/>
        <w:rPr>
          <w:lang w:val="en-US"/>
        </w:rPr>
      </w:pPr>
    </w:p>
    <w:p w14:paraId="6E9FE337">
      <w:pPr>
        <w:pStyle w:val="27"/>
        <w:spacing w:line="360" w:lineRule="auto"/>
        <w:ind w:firstLine="420"/>
        <w:rPr>
          <w:lang w:val="en-US"/>
        </w:rPr>
      </w:pPr>
    </w:p>
    <w:p w14:paraId="5F41A52A">
      <w:pPr>
        <w:pStyle w:val="27"/>
        <w:spacing w:line="360" w:lineRule="auto"/>
        <w:ind w:firstLine="420"/>
        <w:rPr>
          <w:lang w:val="en-US"/>
        </w:rPr>
      </w:pPr>
    </w:p>
    <w:p w14:paraId="4657B359">
      <w:pPr>
        <w:pStyle w:val="27"/>
        <w:spacing w:line="360" w:lineRule="auto"/>
        <w:ind w:firstLine="420"/>
        <w:rPr>
          <w:lang w:val="en-US"/>
        </w:rPr>
      </w:pPr>
    </w:p>
    <w:p w14:paraId="13169E03">
      <w:pPr>
        <w:pStyle w:val="27"/>
        <w:spacing w:line="360" w:lineRule="auto"/>
        <w:ind w:firstLine="420"/>
        <w:rPr>
          <w:lang w:val="en-US"/>
        </w:rPr>
      </w:pPr>
    </w:p>
    <w:p w14:paraId="7D86B041">
      <w:pPr>
        <w:pStyle w:val="27"/>
        <w:spacing w:line="360" w:lineRule="auto"/>
        <w:ind w:firstLine="420"/>
        <w:rPr>
          <w:lang w:val="en-US"/>
        </w:rPr>
      </w:pPr>
    </w:p>
    <w:p w14:paraId="6DCC2E38">
      <w:pPr>
        <w:pStyle w:val="27"/>
        <w:spacing w:line="360" w:lineRule="auto"/>
        <w:ind w:firstLine="420"/>
        <w:rPr>
          <w:lang w:val="en-US"/>
        </w:rPr>
      </w:pPr>
    </w:p>
    <w:p w14:paraId="2A7909EA">
      <w:pPr>
        <w:widowControl/>
        <w:spacing w:line="360" w:lineRule="auto"/>
        <w:jc w:val="center"/>
      </w:pPr>
      <w:r>
        <w:rPr>
          <w:rFonts w:hint="eastAsia" w:ascii="黑体" w:hAnsi="宋体" w:eastAsia="黑体" w:cs="黑体"/>
          <w:color w:val="000000"/>
          <w:kern w:val="0"/>
          <w:sz w:val="28"/>
          <w:szCs w:val="28"/>
        </w:rPr>
        <w:t>供应商：（盖单位章）</w:t>
      </w:r>
    </w:p>
    <w:p w14:paraId="32FBA3F8">
      <w:pPr>
        <w:widowControl/>
        <w:spacing w:line="360" w:lineRule="auto"/>
        <w:jc w:val="center"/>
      </w:pPr>
      <w:r>
        <w:rPr>
          <w:rFonts w:hint="eastAsia" w:ascii="黑体" w:hAnsi="宋体" w:eastAsia="黑体" w:cs="黑体"/>
          <w:color w:val="000000"/>
          <w:kern w:val="0"/>
          <w:sz w:val="28"/>
          <w:szCs w:val="28"/>
        </w:rPr>
        <w:t>法定代表人或其委托代理人：（签字）</w:t>
      </w:r>
    </w:p>
    <w:p w14:paraId="1F68671D">
      <w:pPr>
        <w:widowControl/>
        <w:spacing w:line="360" w:lineRule="auto"/>
        <w:ind w:firstLine="3640" w:firstLineChars="1300"/>
        <w:jc w:val="left"/>
        <w:rPr>
          <w:rFonts w:ascii="黑体" w:hAnsi="宋体" w:eastAsia="黑体" w:cs="黑体"/>
          <w:color w:val="000000"/>
          <w:kern w:val="0"/>
          <w:sz w:val="28"/>
          <w:szCs w:val="28"/>
        </w:rPr>
      </w:pPr>
    </w:p>
    <w:p w14:paraId="6C08B230">
      <w:pPr>
        <w:widowControl/>
        <w:spacing w:line="360" w:lineRule="auto"/>
        <w:ind w:firstLine="3640" w:firstLineChars="1300"/>
        <w:jc w:val="left"/>
        <w:rPr>
          <w:rFonts w:ascii="黑体" w:hAnsi="宋体" w:eastAsia="黑体" w:cs="黑体"/>
          <w:color w:val="000000"/>
          <w:kern w:val="0"/>
          <w:sz w:val="28"/>
          <w:szCs w:val="28"/>
        </w:rPr>
      </w:pPr>
    </w:p>
    <w:p w14:paraId="1127FB17">
      <w:pPr>
        <w:widowControl/>
        <w:spacing w:line="360" w:lineRule="auto"/>
        <w:ind w:firstLine="3640" w:firstLineChars="1300"/>
        <w:jc w:val="left"/>
        <w:rPr>
          <w:rFonts w:ascii="黑体" w:hAnsi="宋体" w:eastAsia="黑体" w:cs="黑体"/>
          <w:color w:val="000000"/>
          <w:kern w:val="0"/>
          <w:sz w:val="28"/>
          <w:szCs w:val="28"/>
        </w:rPr>
      </w:pPr>
    </w:p>
    <w:p w14:paraId="596DC84E">
      <w:pPr>
        <w:widowControl/>
        <w:spacing w:line="360" w:lineRule="auto"/>
        <w:jc w:val="left"/>
        <w:rPr>
          <w:rFonts w:ascii="黑体" w:hAnsi="宋体" w:eastAsia="黑体" w:cs="黑体"/>
          <w:color w:val="000000"/>
          <w:kern w:val="0"/>
          <w:sz w:val="28"/>
          <w:szCs w:val="28"/>
        </w:rPr>
      </w:pPr>
    </w:p>
    <w:p w14:paraId="4832465A">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1A7A0678">
      <w:pPr>
        <w:widowControl/>
        <w:spacing w:line="360" w:lineRule="auto"/>
        <w:ind w:firstLine="3640" w:firstLineChars="1300"/>
        <w:jc w:val="left"/>
      </w:pPr>
      <w:r>
        <w:rPr>
          <w:rFonts w:hint="eastAsia" w:ascii="黑体" w:hAnsi="宋体" w:eastAsia="黑体" w:cs="黑体"/>
          <w:color w:val="000000"/>
          <w:kern w:val="0"/>
          <w:sz w:val="28"/>
          <w:szCs w:val="28"/>
        </w:rPr>
        <w:t xml:space="preserve">目录 </w:t>
      </w:r>
    </w:p>
    <w:p w14:paraId="585AAD7B">
      <w:pPr>
        <w:widowControl/>
        <w:spacing w:line="360" w:lineRule="auto"/>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B2F37C3">
      <w:pPr>
        <w:rPr>
          <w:rFonts w:ascii="宋体" w:hAnsi="宋体"/>
          <w:b/>
          <w:bCs/>
          <w:kern w:val="0"/>
        </w:rPr>
      </w:pPr>
      <w:r>
        <w:rPr>
          <w:rFonts w:hint="eastAsia" w:ascii="宋体" w:hAnsi="宋体"/>
          <w:b/>
          <w:bCs/>
          <w:kern w:val="0"/>
        </w:rPr>
        <w:br w:type="page"/>
      </w:r>
    </w:p>
    <w:p w14:paraId="22790734">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附件一、投标申请及声明格式</w:t>
      </w:r>
    </w:p>
    <w:p w14:paraId="234E95F0">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5D8074F5">
      <w:pPr>
        <w:widowControl/>
        <w:shd w:val="clear" w:color="auto" w:fill="FFFFFF"/>
        <w:spacing w:line="360" w:lineRule="auto"/>
        <w:jc w:val="center"/>
        <w:rPr>
          <w:rFonts w:ascii="宋体" w:hAnsi="宋体"/>
          <w:b/>
          <w:kern w:val="0"/>
          <w:sz w:val="36"/>
          <w:szCs w:val="36"/>
        </w:rPr>
      </w:pPr>
    </w:p>
    <w:p w14:paraId="34CFCC41">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1129BE00">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352D0F75">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002DC33F">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340BF03D">
      <w:pPr>
        <w:widowControl/>
        <w:shd w:val="clear" w:color="auto" w:fill="FFFFFF"/>
        <w:spacing w:line="360" w:lineRule="auto"/>
        <w:ind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7654FC5">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69229BCE">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45749F89">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56492C1F">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7018F0C7">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4C7FA2D8">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0DD5EE0">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3DC9373">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AB3988D">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22CC69B9">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AF6265E">
      <w:pPr>
        <w:widowControl/>
        <w:shd w:val="clear" w:color="auto" w:fill="FFFFFF"/>
        <w:spacing w:line="360" w:lineRule="auto"/>
        <w:ind w:firstLine="420"/>
        <w:rPr>
          <w:rFonts w:ascii="宋体" w:hAnsi="宋体"/>
          <w:kern w:val="0"/>
        </w:rPr>
      </w:pPr>
      <w:r>
        <w:rPr>
          <w:rFonts w:hint="eastAsia" w:ascii="宋体" w:hAnsi="宋体"/>
          <w:kern w:val="0"/>
        </w:rPr>
        <w:t>开户银行：</w:t>
      </w:r>
    </w:p>
    <w:p w14:paraId="77F05CEC">
      <w:pPr>
        <w:widowControl/>
        <w:shd w:val="clear" w:color="auto" w:fill="FFFFFF"/>
        <w:spacing w:line="360" w:lineRule="auto"/>
        <w:ind w:firstLine="420"/>
        <w:rPr>
          <w:rFonts w:ascii="宋体" w:hAnsi="宋体"/>
          <w:kern w:val="0"/>
        </w:rPr>
      </w:pPr>
      <w:r>
        <w:rPr>
          <w:rFonts w:hint="eastAsia" w:ascii="宋体" w:hAnsi="宋体"/>
          <w:kern w:val="0"/>
        </w:rPr>
        <w:t>银行账号：</w:t>
      </w:r>
    </w:p>
    <w:p w14:paraId="3F2B3D97">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0534C77E">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658C14C3">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11AEB828">
      <w:pPr>
        <w:widowControl/>
        <w:spacing w:line="360" w:lineRule="auto"/>
        <w:jc w:val="left"/>
        <w:rPr>
          <w:rFonts w:ascii="宋体" w:hAnsi="宋体" w:cs="宋体"/>
          <w:b/>
          <w:color w:val="000000"/>
          <w:kern w:val="0"/>
        </w:rPr>
      </w:pPr>
      <w:r>
        <w:rPr>
          <w:rFonts w:ascii="宋体" w:hAnsi="宋体"/>
          <w:b/>
          <w:bCs/>
          <w:kern w:val="0"/>
        </w:rPr>
        <w:br w:type="page"/>
      </w:r>
    </w:p>
    <w:p w14:paraId="12A02D6E">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4167E01A">
      <w:pPr>
        <w:widowControl/>
        <w:spacing w:line="360" w:lineRule="auto"/>
        <w:jc w:val="center"/>
      </w:pPr>
      <w:r>
        <w:rPr>
          <w:rFonts w:hint="eastAsia" w:ascii="宋体" w:hAnsi="宋体" w:cs="宋体"/>
          <w:b/>
          <w:bCs/>
          <w:color w:val="000000"/>
          <w:kern w:val="0"/>
          <w:sz w:val="28"/>
          <w:szCs w:val="28"/>
        </w:rPr>
        <w:t>法定代表人授权委托书</w:t>
      </w:r>
    </w:p>
    <w:p w14:paraId="58A1815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126A7F6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39A6245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54234ED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2D24CDE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79737B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2D061C0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1A918317">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682F6FC5">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5E65214C">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（自拟）</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1A71B1E5">
        <w:tblPrEx>
          <w:tblCellMar>
            <w:top w:w="0" w:type="dxa"/>
            <w:left w:w="108" w:type="dxa"/>
            <w:bottom w:w="0" w:type="dxa"/>
            <w:right w:w="108" w:type="dxa"/>
          </w:tblCellMar>
        </w:tblPrEx>
        <w:tc>
          <w:tcPr>
            <w:tcW w:w="1420" w:type="dxa"/>
            <w:tcBorders>
              <w:bottom w:val="single" w:color="auto" w:sz="4" w:space="0"/>
            </w:tcBorders>
          </w:tcPr>
          <w:p w14:paraId="43F7C9A5">
            <w:pPr>
              <w:widowControl/>
              <w:spacing w:line="360" w:lineRule="auto"/>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2721E4AA">
            <w:pPr>
              <w:widowControl/>
              <w:spacing w:line="360" w:lineRule="auto"/>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7150F6D3">
            <w:pPr>
              <w:widowControl/>
              <w:spacing w:line="360" w:lineRule="auto"/>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6EF9D77F">
            <w:pPr>
              <w:widowControl/>
              <w:spacing w:line="360" w:lineRule="auto"/>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72CF76D0">
            <w:pPr>
              <w:widowControl/>
              <w:spacing w:line="360" w:lineRule="auto"/>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778C62C0">
            <w:pPr>
              <w:widowControl/>
              <w:spacing w:line="360" w:lineRule="auto"/>
              <w:jc w:val="left"/>
              <w:rPr>
                <w:rFonts w:ascii="宋体" w:hAnsi="宋体" w:cs="宋体"/>
                <w:color w:val="000000"/>
                <w:kern w:val="0"/>
              </w:rPr>
            </w:pPr>
            <w:r>
              <w:rPr>
                <w:rFonts w:hint="eastAsia" w:ascii="宋体" w:hAnsi="宋体" w:cs="宋体"/>
                <w:color w:val="000000"/>
                <w:kern w:val="0"/>
              </w:rPr>
              <w:t>备注</w:t>
            </w:r>
          </w:p>
        </w:tc>
      </w:tr>
      <w:tr w14:paraId="492E856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D831C35">
            <w:pPr>
              <w:widowControl/>
              <w:spacing w:line="360" w:lineRule="auto"/>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1ABAE8F6">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C096E73">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DBC50D3">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C55BDFB">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64E1488">
            <w:pPr>
              <w:widowControl/>
              <w:spacing w:line="360" w:lineRule="auto"/>
              <w:jc w:val="left"/>
              <w:rPr>
                <w:rFonts w:ascii="宋体" w:hAnsi="宋体" w:cs="宋体"/>
                <w:color w:val="000000"/>
                <w:kern w:val="0"/>
              </w:rPr>
            </w:pPr>
          </w:p>
        </w:tc>
      </w:tr>
      <w:tr w14:paraId="3A3F9500">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613DE54F">
            <w:pPr>
              <w:widowControl/>
              <w:spacing w:line="360" w:lineRule="auto"/>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3145A84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EFD5E1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A8E044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9F3F59E">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46EFD7C">
            <w:pPr>
              <w:widowControl/>
              <w:spacing w:line="360" w:lineRule="auto"/>
              <w:jc w:val="left"/>
              <w:rPr>
                <w:rFonts w:ascii="宋体" w:hAnsi="宋体" w:cs="宋体"/>
                <w:color w:val="000000"/>
                <w:kern w:val="0"/>
              </w:rPr>
            </w:pPr>
          </w:p>
        </w:tc>
      </w:tr>
      <w:tr w14:paraId="71843965">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E74855E">
            <w:pPr>
              <w:widowControl/>
              <w:spacing w:line="360" w:lineRule="auto"/>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3E435E62">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65B526A">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5BD6B25">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4D07607">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E70716A">
            <w:pPr>
              <w:widowControl/>
              <w:spacing w:line="360" w:lineRule="auto"/>
              <w:jc w:val="left"/>
              <w:rPr>
                <w:rFonts w:ascii="宋体" w:hAnsi="宋体" w:cs="宋体"/>
                <w:color w:val="000000"/>
                <w:kern w:val="0"/>
              </w:rPr>
            </w:pPr>
          </w:p>
        </w:tc>
      </w:tr>
      <w:tr w14:paraId="303E4B1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C0847F9">
            <w:pPr>
              <w:widowControl/>
              <w:spacing w:line="360" w:lineRule="auto"/>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279B7F85">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D8FC251">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3E4F830">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A04160E">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72C2E51">
            <w:pPr>
              <w:widowControl/>
              <w:spacing w:line="360" w:lineRule="auto"/>
              <w:jc w:val="left"/>
              <w:rPr>
                <w:rFonts w:ascii="宋体" w:hAnsi="宋体" w:cs="宋体"/>
                <w:color w:val="000000"/>
                <w:kern w:val="0"/>
              </w:rPr>
            </w:pPr>
          </w:p>
        </w:tc>
      </w:tr>
      <w:tr w14:paraId="1F3A1C37">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2895005">
            <w:pPr>
              <w:widowControl/>
              <w:spacing w:line="360" w:lineRule="auto"/>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6112C91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2C39FE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17D723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FAA0117">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842F8B6">
            <w:pPr>
              <w:widowControl/>
              <w:spacing w:line="360" w:lineRule="auto"/>
              <w:jc w:val="left"/>
              <w:rPr>
                <w:rFonts w:ascii="宋体" w:hAnsi="宋体" w:cs="宋体"/>
                <w:color w:val="000000"/>
                <w:kern w:val="0"/>
              </w:rPr>
            </w:pPr>
          </w:p>
        </w:tc>
      </w:tr>
      <w:tr w14:paraId="5D6EB73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C0E208D">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B17944A">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7C8DFE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4EDCF4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A5A9025">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1BB88E9">
            <w:pPr>
              <w:widowControl/>
              <w:spacing w:line="360" w:lineRule="auto"/>
              <w:jc w:val="left"/>
              <w:rPr>
                <w:rFonts w:ascii="宋体" w:hAnsi="宋体" w:cs="宋体"/>
                <w:color w:val="000000"/>
                <w:kern w:val="0"/>
              </w:rPr>
            </w:pPr>
          </w:p>
        </w:tc>
      </w:tr>
      <w:tr w14:paraId="038F78E9">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7E93769">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ED1C819">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DF9F03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4012ABD">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8A415F9">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E72E110">
            <w:pPr>
              <w:widowControl/>
              <w:spacing w:line="360" w:lineRule="auto"/>
              <w:jc w:val="left"/>
              <w:rPr>
                <w:rFonts w:ascii="宋体" w:hAnsi="宋体" w:cs="宋体"/>
                <w:color w:val="000000"/>
                <w:kern w:val="0"/>
              </w:rPr>
            </w:pPr>
          </w:p>
        </w:tc>
      </w:tr>
      <w:tr w14:paraId="1BB2BDE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811167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6050CDD">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C4302A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AFFF11A">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16ADE73">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148CEC8">
            <w:pPr>
              <w:widowControl/>
              <w:spacing w:line="360" w:lineRule="auto"/>
              <w:jc w:val="left"/>
              <w:rPr>
                <w:rFonts w:ascii="宋体" w:hAnsi="宋体" w:cs="宋体"/>
                <w:color w:val="000000"/>
                <w:kern w:val="0"/>
              </w:rPr>
            </w:pPr>
          </w:p>
        </w:tc>
      </w:tr>
      <w:tr w14:paraId="2CFB7D5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0B68F0B">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F00D60C">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40A5620">
            <w:pPr>
              <w:widowControl/>
              <w:spacing w:line="360" w:lineRule="auto"/>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D46DAB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7A9AD16">
            <w:pPr>
              <w:widowControl/>
              <w:spacing w:line="360" w:lineRule="auto"/>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CBD4E7E">
            <w:pPr>
              <w:widowControl/>
              <w:spacing w:line="360" w:lineRule="auto"/>
              <w:jc w:val="left"/>
              <w:rPr>
                <w:rFonts w:ascii="宋体" w:hAnsi="宋体" w:cs="宋体"/>
                <w:color w:val="000000"/>
                <w:kern w:val="0"/>
              </w:rPr>
            </w:pPr>
          </w:p>
        </w:tc>
      </w:tr>
    </w:tbl>
    <w:p w14:paraId="2FB39E1B">
      <w:pPr>
        <w:widowControl/>
        <w:spacing w:line="360" w:lineRule="auto"/>
        <w:jc w:val="left"/>
      </w:pPr>
      <w:r>
        <w:t>根据采购需求添加</w:t>
      </w:r>
    </w:p>
    <w:p w14:paraId="4DC366B0">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BE89FF9">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49522751">
      <w:pPr>
        <w:widowControl/>
        <w:spacing w:line="360" w:lineRule="auto"/>
        <w:jc w:val="center"/>
        <w:rPr>
          <w:rFonts w:ascii="宋体" w:hAnsi="宋体" w:cs="宋体"/>
          <w:b/>
          <w:bCs/>
          <w:color w:val="000000"/>
          <w:kern w:val="0"/>
          <w:sz w:val="28"/>
          <w:szCs w:val="28"/>
        </w:rPr>
      </w:pPr>
    </w:p>
    <w:p w14:paraId="40023333">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46D58C8A">
      <w:pPr>
        <w:widowControl/>
        <w:spacing w:line="360" w:lineRule="auto"/>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7B4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664AC31">
            <w:pPr>
              <w:widowControl/>
              <w:spacing w:line="360" w:lineRule="auto"/>
              <w:jc w:val="left"/>
              <w:rPr>
                <w:rFonts w:ascii="宋体" w:hAnsi="宋体" w:cs="宋体"/>
                <w:color w:val="000000"/>
                <w:kern w:val="0"/>
              </w:rPr>
            </w:pPr>
            <w:r>
              <w:rPr>
                <w:rFonts w:hint="eastAsia" w:ascii="宋体" w:hAnsi="宋体" w:cs="宋体"/>
                <w:color w:val="000000"/>
                <w:kern w:val="0"/>
              </w:rPr>
              <w:t>序号</w:t>
            </w:r>
          </w:p>
        </w:tc>
        <w:tc>
          <w:tcPr>
            <w:tcW w:w="1420" w:type="dxa"/>
          </w:tcPr>
          <w:p w14:paraId="74859CDF">
            <w:pPr>
              <w:widowControl/>
              <w:spacing w:line="360" w:lineRule="auto"/>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2BF23A5">
            <w:pPr>
              <w:widowControl/>
              <w:spacing w:line="360" w:lineRule="auto"/>
              <w:jc w:val="left"/>
            </w:pPr>
            <w:r>
              <w:rPr>
                <w:rFonts w:hint="eastAsia" w:ascii="宋体" w:hAnsi="宋体" w:cs="宋体"/>
                <w:color w:val="000000"/>
                <w:kern w:val="0"/>
              </w:rPr>
              <w:t>供应商响应技术条款描述</w:t>
            </w:r>
          </w:p>
          <w:p w14:paraId="6FCD872D">
            <w:pPr>
              <w:widowControl/>
              <w:spacing w:line="360" w:lineRule="auto"/>
              <w:jc w:val="left"/>
              <w:rPr>
                <w:rFonts w:ascii="宋体" w:hAnsi="宋体" w:cs="宋体"/>
                <w:color w:val="000000"/>
                <w:kern w:val="0"/>
              </w:rPr>
            </w:pPr>
          </w:p>
        </w:tc>
        <w:tc>
          <w:tcPr>
            <w:tcW w:w="1995" w:type="dxa"/>
          </w:tcPr>
          <w:p w14:paraId="08FE7F32">
            <w:pPr>
              <w:widowControl/>
              <w:spacing w:line="360" w:lineRule="auto"/>
              <w:jc w:val="left"/>
              <w:rPr>
                <w:rFonts w:ascii="宋体" w:hAnsi="宋体" w:cs="宋体"/>
                <w:color w:val="000000"/>
                <w:kern w:val="0"/>
              </w:rPr>
            </w:pPr>
            <w:r>
              <w:rPr>
                <w:rFonts w:hint="eastAsia" w:ascii="宋体" w:hAnsi="宋体" w:cs="宋体"/>
                <w:color w:val="000000"/>
                <w:kern w:val="0"/>
              </w:rPr>
              <w:t>投标响应情况</w:t>
            </w:r>
          </w:p>
        </w:tc>
      </w:tr>
      <w:tr w14:paraId="0D94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09E7825">
            <w:pPr>
              <w:widowControl/>
              <w:spacing w:line="360" w:lineRule="auto"/>
              <w:jc w:val="left"/>
              <w:rPr>
                <w:rFonts w:ascii="宋体" w:hAnsi="宋体" w:cs="宋体"/>
                <w:color w:val="000000"/>
                <w:kern w:val="0"/>
              </w:rPr>
            </w:pPr>
          </w:p>
        </w:tc>
        <w:tc>
          <w:tcPr>
            <w:tcW w:w="1420" w:type="dxa"/>
          </w:tcPr>
          <w:p w14:paraId="1BFDB196">
            <w:pPr>
              <w:widowControl/>
              <w:spacing w:line="360" w:lineRule="auto"/>
              <w:jc w:val="left"/>
              <w:rPr>
                <w:rFonts w:ascii="宋体" w:hAnsi="宋体" w:cs="宋体"/>
                <w:color w:val="000000"/>
                <w:kern w:val="0"/>
              </w:rPr>
            </w:pPr>
          </w:p>
        </w:tc>
        <w:tc>
          <w:tcPr>
            <w:tcW w:w="3597" w:type="dxa"/>
          </w:tcPr>
          <w:p w14:paraId="6623912C">
            <w:pPr>
              <w:widowControl/>
              <w:spacing w:line="360" w:lineRule="auto"/>
              <w:jc w:val="left"/>
              <w:rPr>
                <w:rFonts w:ascii="宋体" w:hAnsi="宋体" w:cs="宋体"/>
                <w:color w:val="000000"/>
                <w:kern w:val="0"/>
              </w:rPr>
            </w:pPr>
          </w:p>
        </w:tc>
        <w:tc>
          <w:tcPr>
            <w:tcW w:w="1995" w:type="dxa"/>
          </w:tcPr>
          <w:p w14:paraId="0164FDBC">
            <w:pPr>
              <w:widowControl/>
              <w:spacing w:line="360" w:lineRule="auto"/>
              <w:jc w:val="left"/>
              <w:rPr>
                <w:rFonts w:ascii="宋体" w:hAnsi="宋体" w:cs="宋体"/>
                <w:color w:val="000000"/>
                <w:kern w:val="0"/>
              </w:rPr>
            </w:pPr>
          </w:p>
        </w:tc>
      </w:tr>
      <w:tr w14:paraId="1448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77F0AF8">
            <w:pPr>
              <w:widowControl/>
              <w:spacing w:line="360" w:lineRule="auto"/>
              <w:jc w:val="left"/>
              <w:rPr>
                <w:rFonts w:ascii="宋体" w:hAnsi="宋体" w:cs="宋体"/>
                <w:color w:val="000000"/>
                <w:kern w:val="0"/>
              </w:rPr>
            </w:pPr>
          </w:p>
        </w:tc>
        <w:tc>
          <w:tcPr>
            <w:tcW w:w="1420" w:type="dxa"/>
          </w:tcPr>
          <w:p w14:paraId="1AAAA508">
            <w:pPr>
              <w:widowControl/>
              <w:spacing w:line="360" w:lineRule="auto"/>
              <w:jc w:val="left"/>
              <w:rPr>
                <w:rFonts w:ascii="宋体" w:hAnsi="宋体" w:cs="宋体"/>
                <w:color w:val="000000"/>
                <w:kern w:val="0"/>
              </w:rPr>
            </w:pPr>
          </w:p>
        </w:tc>
        <w:tc>
          <w:tcPr>
            <w:tcW w:w="3597" w:type="dxa"/>
          </w:tcPr>
          <w:p w14:paraId="47BDB971">
            <w:pPr>
              <w:widowControl/>
              <w:spacing w:line="360" w:lineRule="auto"/>
              <w:jc w:val="left"/>
              <w:rPr>
                <w:rFonts w:ascii="宋体" w:hAnsi="宋体" w:cs="宋体"/>
                <w:color w:val="000000"/>
                <w:kern w:val="0"/>
              </w:rPr>
            </w:pPr>
          </w:p>
        </w:tc>
        <w:tc>
          <w:tcPr>
            <w:tcW w:w="1995" w:type="dxa"/>
          </w:tcPr>
          <w:p w14:paraId="44533621">
            <w:pPr>
              <w:widowControl/>
              <w:spacing w:line="360" w:lineRule="auto"/>
              <w:jc w:val="left"/>
              <w:rPr>
                <w:rFonts w:ascii="宋体" w:hAnsi="宋体" w:cs="宋体"/>
                <w:color w:val="000000"/>
                <w:kern w:val="0"/>
              </w:rPr>
            </w:pPr>
          </w:p>
        </w:tc>
      </w:tr>
      <w:tr w14:paraId="0F6B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0177A3">
            <w:pPr>
              <w:widowControl/>
              <w:spacing w:line="360" w:lineRule="auto"/>
              <w:jc w:val="left"/>
              <w:rPr>
                <w:rFonts w:ascii="宋体" w:hAnsi="宋体" w:cs="宋体"/>
                <w:color w:val="000000"/>
                <w:kern w:val="0"/>
              </w:rPr>
            </w:pPr>
          </w:p>
        </w:tc>
        <w:tc>
          <w:tcPr>
            <w:tcW w:w="1420" w:type="dxa"/>
          </w:tcPr>
          <w:p w14:paraId="0D1AA27E">
            <w:pPr>
              <w:widowControl/>
              <w:spacing w:line="360" w:lineRule="auto"/>
              <w:jc w:val="left"/>
              <w:rPr>
                <w:rFonts w:ascii="宋体" w:hAnsi="宋体" w:cs="宋体"/>
                <w:color w:val="000000"/>
                <w:kern w:val="0"/>
              </w:rPr>
            </w:pPr>
          </w:p>
        </w:tc>
        <w:tc>
          <w:tcPr>
            <w:tcW w:w="3597" w:type="dxa"/>
          </w:tcPr>
          <w:p w14:paraId="7DB1EA3E">
            <w:pPr>
              <w:widowControl/>
              <w:spacing w:line="360" w:lineRule="auto"/>
              <w:jc w:val="left"/>
              <w:rPr>
                <w:rFonts w:ascii="宋体" w:hAnsi="宋体" w:cs="宋体"/>
                <w:color w:val="000000"/>
                <w:kern w:val="0"/>
              </w:rPr>
            </w:pPr>
          </w:p>
        </w:tc>
        <w:tc>
          <w:tcPr>
            <w:tcW w:w="1995" w:type="dxa"/>
          </w:tcPr>
          <w:p w14:paraId="139EB52A">
            <w:pPr>
              <w:widowControl/>
              <w:spacing w:line="360" w:lineRule="auto"/>
              <w:jc w:val="left"/>
              <w:rPr>
                <w:rFonts w:ascii="宋体" w:hAnsi="宋体" w:cs="宋体"/>
                <w:color w:val="000000"/>
                <w:kern w:val="0"/>
              </w:rPr>
            </w:pPr>
          </w:p>
        </w:tc>
      </w:tr>
      <w:tr w14:paraId="7AF0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0D7DF4F">
            <w:pPr>
              <w:widowControl/>
              <w:spacing w:line="360" w:lineRule="auto"/>
              <w:jc w:val="left"/>
              <w:rPr>
                <w:rFonts w:ascii="宋体" w:hAnsi="宋体" w:cs="宋体"/>
                <w:color w:val="000000"/>
                <w:kern w:val="0"/>
              </w:rPr>
            </w:pPr>
          </w:p>
        </w:tc>
        <w:tc>
          <w:tcPr>
            <w:tcW w:w="1420" w:type="dxa"/>
          </w:tcPr>
          <w:p w14:paraId="3E3920C3">
            <w:pPr>
              <w:widowControl/>
              <w:spacing w:line="360" w:lineRule="auto"/>
              <w:jc w:val="left"/>
              <w:rPr>
                <w:rFonts w:ascii="宋体" w:hAnsi="宋体" w:cs="宋体"/>
                <w:color w:val="000000"/>
                <w:kern w:val="0"/>
              </w:rPr>
            </w:pPr>
          </w:p>
        </w:tc>
        <w:tc>
          <w:tcPr>
            <w:tcW w:w="3597" w:type="dxa"/>
          </w:tcPr>
          <w:p w14:paraId="36EA20FE">
            <w:pPr>
              <w:widowControl/>
              <w:spacing w:line="360" w:lineRule="auto"/>
              <w:jc w:val="left"/>
              <w:rPr>
                <w:rFonts w:ascii="宋体" w:hAnsi="宋体" w:cs="宋体"/>
                <w:color w:val="000000"/>
                <w:kern w:val="0"/>
              </w:rPr>
            </w:pPr>
          </w:p>
        </w:tc>
        <w:tc>
          <w:tcPr>
            <w:tcW w:w="1995" w:type="dxa"/>
          </w:tcPr>
          <w:p w14:paraId="245AE8C8">
            <w:pPr>
              <w:widowControl/>
              <w:spacing w:line="360" w:lineRule="auto"/>
              <w:jc w:val="left"/>
              <w:rPr>
                <w:rFonts w:ascii="宋体" w:hAnsi="宋体" w:cs="宋体"/>
                <w:color w:val="000000"/>
                <w:kern w:val="0"/>
              </w:rPr>
            </w:pPr>
          </w:p>
        </w:tc>
      </w:tr>
    </w:tbl>
    <w:p w14:paraId="751C4E6F">
      <w:pPr>
        <w:widowControl/>
        <w:spacing w:line="360" w:lineRule="auto"/>
        <w:jc w:val="left"/>
      </w:pPr>
    </w:p>
    <w:p w14:paraId="56A6E4FB">
      <w:pPr>
        <w:widowControl/>
        <w:spacing w:line="360" w:lineRule="auto"/>
        <w:jc w:val="left"/>
      </w:pPr>
      <w:r>
        <w:rPr>
          <w:rFonts w:hint="eastAsia" w:ascii="宋体" w:hAnsi="宋体" w:cs="宋体"/>
          <w:color w:val="000000"/>
          <w:kern w:val="0"/>
        </w:rPr>
        <w:t xml:space="preserve">说明：如果行数不够，请自行增加。 </w:t>
      </w:r>
    </w:p>
    <w:p w14:paraId="7F5A6174">
      <w:pPr>
        <w:widowControl/>
        <w:spacing w:line="360" w:lineRule="auto"/>
        <w:ind w:firstLine="5670" w:firstLineChars="2700"/>
        <w:jc w:val="left"/>
      </w:pPr>
      <w:r>
        <w:rPr>
          <w:rFonts w:hint="eastAsia" w:ascii="宋体" w:hAnsi="宋体" w:cs="宋体"/>
          <w:color w:val="000000"/>
          <w:kern w:val="0"/>
        </w:rPr>
        <w:t>供应商名称： （盖章）</w:t>
      </w:r>
    </w:p>
    <w:p w14:paraId="0C0FB9F9">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02A2CD3E">
      <w:pPr>
        <w:widowControl/>
        <w:spacing w:line="360" w:lineRule="auto"/>
        <w:jc w:val="left"/>
      </w:pPr>
      <w:r>
        <w:rPr>
          <w:rFonts w:hint="eastAsia" w:ascii="宋体" w:hAnsi="宋体" w:cs="宋体"/>
          <w:b/>
          <w:bCs/>
          <w:color w:val="000000"/>
          <w:kern w:val="0"/>
          <w:sz w:val="28"/>
          <w:szCs w:val="28"/>
        </w:rPr>
        <w:t xml:space="preserve">附件五、项目实施方案（自拟） </w:t>
      </w:r>
    </w:p>
    <w:p w14:paraId="60682CF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2C7C1DD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00A04804">
      <w:pPr>
        <w:widowControl/>
        <w:spacing w:line="360" w:lineRule="auto"/>
        <w:ind w:firstLine="420" w:firstLineChars="200"/>
        <w:jc w:val="left"/>
        <w:rPr>
          <w:rFonts w:ascii="宋体" w:hAnsi="宋体" w:cs="宋体"/>
          <w:color w:val="000000"/>
          <w:kern w:val="0"/>
        </w:rPr>
      </w:pPr>
    </w:p>
    <w:p w14:paraId="38F0D7FF">
      <w:pPr>
        <w:widowControl/>
        <w:spacing w:line="360" w:lineRule="auto"/>
        <w:ind w:firstLine="420" w:firstLineChars="200"/>
        <w:jc w:val="left"/>
        <w:rPr>
          <w:rFonts w:ascii="宋体" w:hAnsi="宋体" w:cs="宋体"/>
          <w:color w:val="000000"/>
          <w:kern w:val="0"/>
        </w:rPr>
      </w:pPr>
    </w:p>
    <w:p w14:paraId="4AA19C3B">
      <w:pPr>
        <w:widowControl/>
        <w:spacing w:line="360" w:lineRule="auto"/>
        <w:ind w:firstLine="420" w:firstLineChars="200"/>
        <w:jc w:val="left"/>
        <w:rPr>
          <w:rFonts w:ascii="宋体" w:hAnsi="宋体" w:cs="宋体"/>
          <w:color w:val="000000"/>
          <w:kern w:val="0"/>
        </w:rPr>
      </w:pPr>
    </w:p>
    <w:p w14:paraId="39A8A888">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17465355">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0B0F05EB">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04C9FE42">
      <w:pPr>
        <w:widowControl/>
        <w:spacing w:line="360" w:lineRule="auto"/>
        <w:jc w:val="center"/>
        <w:rPr>
          <w:rFonts w:ascii="宋体" w:hAnsi="宋体" w:cs="宋体"/>
          <w:b/>
          <w:bCs/>
          <w:color w:val="000000"/>
          <w:kern w:val="0"/>
          <w:sz w:val="28"/>
          <w:szCs w:val="28"/>
        </w:rPr>
      </w:pPr>
    </w:p>
    <w:p w14:paraId="1656CE7F">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2B82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8569D83">
            <w:pPr>
              <w:widowControl/>
              <w:spacing w:line="360" w:lineRule="auto"/>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01279454">
            <w:pPr>
              <w:widowControl/>
              <w:spacing w:line="360" w:lineRule="auto"/>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42C0ACFF">
            <w:pPr>
              <w:widowControl/>
              <w:spacing w:line="360" w:lineRule="auto"/>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4AD9036B">
            <w:pPr>
              <w:widowControl/>
              <w:spacing w:line="360" w:lineRule="auto"/>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67C0D626">
            <w:pPr>
              <w:widowControl/>
              <w:spacing w:line="360" w:lineRule="auto"/>
              <w:jc w:val="left"/>
            </w:pPr>
            <w:r>
              <w:rPr>
                <w:rFonts w:hint="eastAsia" w:ascii="宋体" w:hAnsi="宋体" w:cs="宋体"/>
                <w:b/>
                <w:color w:val="000000"/>
                <w:kern w:val="0"/>
              </w:rPr>
              <w:t xml:space="preserve">年采购金额 </w:t>
            </w:r>
          </w:p>
          <w:p w14:paraId="70668A95">
            <w:pPr>
              <w:widowControl/>
              <w:spacing w:line="360" w:lineRule="auto"/>
              <w:jc w:val="left"/>
              <w:rPr>
                <w:rFonts w:ascii="宋体" w:hAnsi="宋体" w:cs="宋体"/>
                <w:b/>
                <w:color w:val="000000"/>
                <w:kern w:val="0"/>
              </w:rPr>
            </w:pPr>
            <w:r>
              <w:rPr>
                <w:rFonts w:hint="eastAsia" w:ascii="宋体" w:hAnsi="宋体" w:cs="宋体"/>
                <w:b/>
                <w:color w:val="000000"/>
                <w:kern w:val="0"/>
              </w:rPr>
              <w:t>（元）</w:t>
            </w:r>
          </w:p>
        </w:tc>
        <w:tc>
          <w:tcPr>
            <w:tcW w:w="1323" w:type="dxa"/>
          </w:tcPr>
          <w:p w14:paraId="04568413">
            <w:pPr>
              <w:widowControl/>
              <w:spacing w:line="360" w:lineRule="auto"/>
              <w:jc w:val="left"/>
              <w:rPr>
                <w:rFonts w:ascii="宋体" w:hAnsi="宋体" w:cs="宋体"/>
                <w:b/>
                <w:color w:val="000000"/>
                <w:kern w:val="0"/>
              </w:rPr>
            </w:pPr>
            <w:r>
              <w:rPr>
                <w:rFonts w:hint="eastAsia" w:ascii="宋体" w:hAnsi="宋体" w:cs="宋体"/>
                <w:b/>
                <w:color w:val="000000"/>
                <w:kern w:val="0"/>
              </w:rPr>
              <w:t>备注</w:t>
            </w:r>
          </w:p>
        </w:tc>
      </w:tr>
      <w:tr w14:paraId="4628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0C9E91D">
            <w:pPr>
              <w:widowControl/>
              <w:spacing w:line="360" w:lineRule="auto"/>
              <w:jc w:val="left"/>
              <w:rPr>
                <w:rFonts w:ascii="宋体" w:hAnsi="宋体" w:cs="宋体"/>
                <w:b/>
                <w:color w:val="000000"/>
                <w:kern w:val="0"/>
              </w:rPr>
            </w:pPr>
          </w:p>
        </w:tc>
        <w:tc>
          <w:tcPr>
            <w:tcW w:w="1217" w:type="dxa"/>
          </w:tcPr>
          <w:p w14:paraId="738B08DD">
            <w:pPr>
              <w:widowControl/>
              <w:spacing w:line="360" w:lineRule="auto"/>
              <w:jc w:val="left"/>
              <w:rPr>
                <w:rFonts w:ascii="宋体" w:hAnsi="宋体" w:cs="宋体"/>
                <w:b/>
                <w:color w:val="000000"/>
                <w:kern w:val="0"/>
              </w:rPr>
            </w:pPr>
          </w:p>
        </w:tc>
        <w:tc>
          <w:tcPr>
            <w:tcW w:w="1217" w:type="dxa"/>
          </w:tcPr>
          <w:p w14:paraId="013F3277">
            <w:pPr>
              <w:widowControl/>
              <w:spacing w:line="360" w:lineRule="auto"/>
              <w:jc w:val="left"/>
              <w:rPr>
                <w:rFonts w:ascii="宋体" w:hAnsi="宋体" w:cs="宋体"/>
                <w:b/>
                <w:color w:val="000000"/>
                <w:kern w:val="0"/>
              </w:rPr>
            </w:pPr>
          </w:p>
        </w:tc>
        <w:tc>
          <w:tcPr>
            <w:tcW w:w="1217" w:type="dxa"/>
          </w:tcPr>
          <w:p w14:paraId="4DC8469F">
            <w:pPr>
              <w:widowControl/>
              <w:spacing w:line="360" w:lineRule="auto"/>
              <w:jc w:val="left"/>
              <w:rPr>
                <w:rFonts w:ascii="宋体" w:hAnsi="宋体" w:cs="宋体"/>
                <w:b/>
                <w:color w:val="000000"/>
                <w:kern w:val="0"/>
              </w:rPr>
            </w:pPr>
          </w:p>
        </w:tc>
        <w:tc>
          <w:tcPr>
            <w:tcW w:w="2018" w:type="dxa"/>
          </w:tcPr>
          <w:p w14:paraId="51321E0B">
            <w:pPr>
              <w:widowControl/>
              <w:spacing w:line="360" w:lineRule="auto"/>
              <w:jc w:val="left"/>
              <w:rPr>
                <w:rFonts w:ascii="宋体" w:hAnsi="宋体" w:cs="宋体"/>
                <w:b/>
                <w:color w:val="000000"/>
                <w:kern w:val="0"/>
              </w:rPr>
            </w:pPr>
          </w:p>
        </w:tc>
        <w:tc>
          <w:tcPr>
            <w:tcW w:w="1323" w:type="dxa"/>
          </w:tcPr>
          <w:p w14:paraId="3F0F56BE">
            <w:pPr>
              <w:widowControl/>
              <w:spacing w:line="360" w:lineRule="auto"/>
              <w:jc w:val="left"/>
              <w:rPr>
                <w:rFonts w:ascii="宋体" w:hAnsi="宋体" w:cs="宋体"/>
                <w:b/>
                <w:color w:val="000000"/>
                <w:kern w:val="0"/>
              </w:rPr>
            </w:pPr>
          </w:p>
        </w:tc>
      </w:tr>
      <w:tr w14:paraId="548F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A9F9295">
            <w:pPr>
              <w:widowControl/>
              <w:spacing w:line="360" w:lineRule="auto"/>
              <w:jc w:val="left"/>
              <w:rPr>
                <w:rFonts w:ascii="宋体" w:hAnsi="宋体" w:cs="宋体"/>
                <w:b/>
                <w:color w:val="000000"/>
                <w:kern w:val="0"/>
              </w:rPr>
            </w:pPr>
          </w:p>
        </w:tc>
        <w:tc>
          <w:tcPr>
            <w:tcW w:w="1217" w:type="dxa"/>
          </w:tcPr>
          <w:p w14:paraId="156B44D6">
            <w:pPr>
              <w:widowControl/>
              <w:spacing w:line="360" w:lineRule="auto"/>
              <w:jc w:val="left"/>
              <w:rPr>
                <w:rFonts w:ascii="宋体" w:hAnsi="宋体" w:cs="宋体"/>
                <w:b/>
                <w:color w:val="000000"/>
                <w:kern w:val="0"/>
              </w:rPr>
            </w:pPr>
          </w:p>
        </w:tc>
        <w:tc>
          <w:tcPr>
            <w:tcW w:w="1217" w:type="dxa"/>
          </w:tcPr>
          <w:p w14:paraId="64CFF179">
            <w:pPr>
              <w:widowControl/>
              <w:spacing w:line="360" w:lineRule="auto"/>
              <w:jc w:val="left"/>
              <w:rPr>
                <w:rFonts w:ascii="宋体" w:hAnsi="宋体" w:cs="宋体"/>
                <w:b/>
                <w:color w:val="000000"/>
                <w:kern w:val="0"/>
              </w:rPr>
            </w:pPr>
          </w:p>
        </w:tc>
        <w:tc>
          <w:tcPr>
            <w:tcW w:w="1217" w:type="dxa"/>
          </w:tcPr>
          <w:p w14:paraId="3FCC6BA3">
            <w:pPr>
              <w:widowControl/>
              <w:spacing w:line="360" w:lineRule="auto"/>
              <w:jc w:val="left"/>
              <w:rPr>
                <w:rFonts w:ascii="宋体" w:hAnsi="宋体" w:cs="宋体"/>
                <w:b/>
                <w:color w:val="000000"/>
                <w:kern w:val="0"/>
              </w:rPr>
            </w:pPr>
          </w:p>
        </w:tc>
        <w:tc>
          <w:tcPr>
            <w:tcW w:w="2018" w:type="dxa"/>
          </w:tcPr>
          <w:p w14:paraId="1CBB49CF">
            <w:pPr>
              <w:widowControl/>
              <w:spacing w:line="360" w:lineRule="auto"/>
              <w:jc w:val="left"/>
              <w:rPr>
                <w:rFonts w:ascii="宋体" w:hAnsi="宋体" w:cs="宋体"/>
                <w:b/>
                <w:color w:val="000000"/>
                <w:kern w:val="0"/>
              </w:rPr>
            </w:pPr>
          </w:p>
        </w:tc>
        <w:tc>
          <w:tcPr>
            <w:tcW w:w="1323" w:type="dxa"/>
          </w:tcPr>
          <w:p w14:paraId="16E5A2CD">
            <w:pPr>
              <w:widowControl/>
              <w:spacing w:line="360" w:lineRule="auto"/>
              <w:jc w:val="left"/>
              <w:rPr>
                <w:rFonts w:ascii="宋体" w:hAnsi="宋体" w:cs="宋体"/>
                <w:b/>
                <w:color w:val="000000"/>
                <w:kern w:val="0"/>
              </w:rPr>
            </w:pPr>
          </w:p>
        </w:tc>
      </w:tr>
      <w:tr w14:paraId="625D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36D1078">
            <w:pPr>
              <w:widowControl/>
              <w:spacing w:line="360" w:lineRule="auto"/>
              <w:jc w:val="left"/>
              <w:rPr>
                <w:rFonts w:ascii="宋体" w:hAnsi="宋体" w:cs="宋体"/>
                <w:b/>
                <w:color w:val="000000"/>
                <w:kern w:val="0"/>
              </w:rPr>
            </w:pPr>
          </w:p>
        </w:tc>
        <w:tc>
          <w:tcPr>
            <w:tcW w:w="1217" w:type="dxa"/>
          </w:tcPr>
          <w:p w14:paraId="0B67BF48">
            <w:pPr>
              <w:widowControl/>
              <w:spacing w:line="360" w:lineRule="auto"/>
              <w:jc w:val="left"/>
              <w:rPr>
                <w:rFonts w:ascii="宋体" w:hAnsi="宋体" w:cs="宋体"/>
                <w:b/>
                <w:color w:val="000000"/>
                <w:kern w:val="0"/>
              </w:rPr>
            </w:pPr>
          </w:p>
        </w:tc>
        <w:tc>
          <w:tcPr>
            <w:tcW w:w="1217" w:type="dxa"/>
          </w:tcPr>
          <w:p w14:paraId="55864777">
            <w:pPr>
              <w:widowControl/>
              <w:spacing w:line="360" w:lineRule="auto"/>
              <w:jc w:val="left"/>
              <w:rPr>
                <w:rFonts w:ascii="宋体" w:hAnsi="宋体" w:cs="宋体"/>
                <w:b/>
                <w:color w:val="000000"/>
                <w:kern w:val="0"/>
              </w:rPr>
            </w:pPr>
          </w:p>
        </w:tc>
        <w:tc>
          <w:tcPr>
            <w:tcW w:w="1217" w:type="dxa"/>
          </w:tcPr>
          <w:p w14:paraId="6B52BAA2">
            <w:pPr>
              <w:widowControl/>
              <w:spacing w:line="360" w:lineRule="auto"/>
              <w:jc w:val="left"/>
              <w:rPr>
                <w:rFonts w:ascii="宋体" w:hAnsi="宋体" w:cs="宋体"/>
                <w:b/>
                <w:color w:val="000000"/>
                <w:kern w:val="0"/>
              </w:rPr>
            </w:pPr>
          </w:p>
        </w:tc>
        <w:tc>
          <w:tcPr>
            <w:tcW w:w="2018" w:type="dxa"/>
          </w:tcPr>
          <w:p w14:paraId="51FB52A1">
            <w:pPr>
              <w:widowControl/>
              <w:spacing w:line="360" w:lineRule="auto"/>
              <w:jc w:val="left"/>
              <w:rPr>
                <w:rFonts w:ascii="宋体" w:hAnsi="宋体" w:cs="宋体"/>
                <w:b/>
                <w:color w:val="000000"/>
                <w:kern w:val="0"/>
              </w:rPr>
            </w:pPr>
          </w:p>
        </w:tc>
        <w:tc>
          <w:tcPr>
            <w:tcW w:w="1323" w:type="dxa"/>
          </w:tcPr>
          <w:p w14:paraId="7DFB5B3D">
            <w:pPr>
              <w:widowControl/>
              <w:spacing w:line="360" w:lineRule="auto"/>
              <w:jc w:val="left"/>
              <w:rPr>
                <w:rFonts w:ascii="宋体" w:hAnsi="宋体" w:cs="宋体"/>
                <w:b/>
                <w:color w:val="000000"/>
                <w:kern w:val="0"/>
              </w:rPr>
            </w:pPr>
          </w:p>
        </w:tc>
      </w:tr>
      <w:tr w14:paraId="3469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03BDBCB">
            <w:pPr>
              <w:widowControl/>
              <w:spacing w:line="360" w:lineRule="auto"/>
              <w:jc w:val="left"/>
              <w:rPr>
                <w:rFonts w:ascii="宋体" w:hAnsi="宋体" w:cs="宋体"/>
                <w:b/>
                <w:color w:val="000000"/>
                <w:kern w:val="0"/>
              </w:rPr>
            </w:pPr>
          </w:p>
        </w:tc>
        <w:tc>
          <w:tcPr>
            <w:tcW w:w="1217" w:type="dxa"/>
          </w:tcPr>
          <w:p w14:paraId="22DF0674">
            <w:pPr>
              <w:widowControl/>
              <w:spacing w:line="360" w:lineRule="auto"/>
              <w:jc w:val="left"/>
              <w:rPr>
                <w:rFonts w:ascii="宋体" w:hAnsi="宋体" w:cs="宋体"/>
                <w:b/>
                <w:color w:val="000000"/>
                <w:kern w:val="0"/>
              </w:rPr>
            </w:pPr>
          </w:p>
        </w:tc>
        <w:tc>
          <w:tcPr>
            <w:tcW w:w="1217" w:type="dxa"/>
          </w:tcPr>
          <w:p w14:paraId="00DCF242">
            <w:pPr>
              <w:widowControl/>
              <w:spacing w:line="360" w:lineRule="auto"/>
              <w:jc w:val="left"/>
              <w:rPr>
                <w:rFonts w:ascii="宋体" w:hAnsi="宋体" w:cs="宋体"/>
                <w:b/>
                <w:color w:val="000000"/>
                <w:kern w:val="0"/>
              </w:rPr>
            </w:pPr>
          </w:p>
        </w:tc>
        <w:tc>
          <w:tcPr>
            <w:tcW w:w="1217" w:type="dxa"/>
          </w:tcPr>
          <w:p w14:paraId="5150CA4E">
            <w:pPr>
              <w:widowControl/>
              <w:spacing w:line="360" w:lineRule="auto"/>
              <w:jc w:val="left"/>
              <w:rPr>
                <w:rFonts w:ascii="宋体" w:hAnsi="宋体" w:cs="宋体"/>
                <w:b/>
                <w:color w:val="000000"/>
                <w:kern w:val="0"/>
              </w:rPr>
            </w:pPr>
          </w:p>
        </w:tc>
        <w:tc>
          <w:tcPr>
            <w:tcW w:w="2018" w:type="dxa"/>
          </w:tcPr>
          <w:p w14:paraId="757B518A">
            <w:pPr>
              <w:widowControl/>
              <w:spacing w:line="360" w:lineRule="auto"/>
              <w:jc w:val="left"/>
              <w:rPr>
                <w:rFonts w:ascii="宋体" w:hAnsi="宋体" w:cs="宋体"/>
                <w:b/>
                <w:color w:val="000000"/>
                <w:kern w:val="0"/>
              </w:rPr>
            </w:pPr>
          </w:p>
        </w:tc>
        <w:tc>
          <w:tcPr>
            <w:tcW w:w="1323" w:type="dxa"/>
          </w:tcPr>
          <w:p w14:paraId="09BB0784">
            <w:pPr>
              <w:widowControl/>
              <w:spacing w:line="360" w:lineRule="auto"/>
              <w:jc w:val="left"/>
              <w:rPr>
                <w:rFonts w:ascii="宋体" w:hAnsi="宋体" w:cs="宋体"/>
                <w:b/>
                <w:color w:val="000000"/>
                <w:kern w:val="0"/>
              </w:rPr>
            </w:pPr>
          </w:p>
        </w:tc>
      </w:tr>
    </w:tbl>
    <w:p w14:paraId="2E157ED6">
      <w:pPr>
        <w:widowControl/>
        <w:spacing w:line="360" w:lineRule="auto"/>
        <w:jc w:val="left"/>
      </w:pPr>
    </w:p>
    <w:p w14:paraId="29252B6E">
      <w:pPr>
        <w:widowControl/>
        <w:spacing w:line="360" w:lineRule="auto"/>
        <w:jc w:val="left"/>
      </w:pPr>
    </w:p>
    <w:p w14:paraId="4511F1B2">
      <w:pPr>
        <w:widowControl/>
        <w:spacing w:line="360" w:lineRule="auto"/>
        <w:jc w:val="left"/>
      </w:pPr>
    </w:p>
    <w:p w14:paraId="1CA5A4F0">
      <w:pPr>
        <w:widowControl/>
        <w:spacing w:line="360" w:lineRule="auto"/>
        <w:jc w:val="left"/>
      </w:pPr>
    </w:p>
    <w:p w14:paraId="7E9C412F">
      <w:pPr>
        <w:widowControl/>
        <w:spacing w:line="360" w:lineRule="auto"/>
        <w:jc w:val="left"/>
      </w:pPr>
    </w:p>
    <w:p w14:paraId="653D57CE">
      <w:pPr>
        <w:widowControl/>
        <w:spacing w:line="360" w:lineRule="auto"/>
        <w:jc w:val="left"/>
      </w:pPr>
    </w:p>
    <w:p w14:paraId="6240B002">
      <w:pPr>
        <w:widowControl/>
        <w:spacing w:line="360" w:lineRule="auto"/>
        <w:jc w:val="right"/>
      </w:pPr>
      <w:r>
        <w:rPr>
          <w:rFonts w:hint="eastAsia" w:ascii="宋体" w:hAnsi="宋体" w:cs="宋体"/>
          <w:color w:val="000000"/>
          <w:kern w:val="0"/>
        </w:rPr>
        <w:t xml:space="preserve">供应商名称： （盖章） </w:t>
      </w:r>
    </w:p>
    <w:p w14:paraId="016E5052">
      <w:pPr>
        <w:widowControl/>
        <w:spacing w:line="360" w:lineRule="auto"/>
        <w:jc w:val="left"/>
      </w:pPr>
      <w:r>
        <w:rPr>
          <w:rFonts w:hint="eastAsia" w:ascii="宋体" w:hAnsi="宋体" w:cs="宋体"/>
          <w:color w:val="000000"/>
          <w:kern w:val="0"/>
        </w:rPr>
        <w:t xml:space="preserve">说明： </w:t>
      </w:r>
    </w:p>
    <w:p w14:paraId="55B6E412">
      <w:pPr>
        <w:widowControl/>
        <w:spacing w:line="360" w:lineRule="auto"/>
        <w:jc w:val="left"/>
      </w:pPr>
      <w:r>
        <w:rPr>
          <w:rFonts w:hint="eastAsia" w:ascii="宋体" w:hAnsi="宋体" w:cs="宋体"/>
          <w:color w:val="000000"/>
          <w:kern w:val="0"/>
        </w:rPr>
        <w:t xml:space="preserve">1、此表为表样，行数可自行添加，但表式不变。 </w:t>
      </w:r>
    </w:p>
    <w:p w14:paraId="1EA76F4D">
      <w:pPr>
        <w:widowControl/>
        <w:spacing w:line="360" w:lineRule="auto"/>
        <w:jc w:val="left"/>
      </w:pPr>
      <w:r>
        <w:rPr>
          <w:rFonts w:hint="eastAsia" w:ascii="宋体" w:hAnsi="宋体" w:cs="宋体"/>
          <w:color w:val="000000"/>
          <w:kern w:val="0"/>
        </w:rPr>
        <w:t>2、证明材料按磋商文件要求按序作为本表附页附后。</w:t>
      </w:r>
    </w:p>
    <w:p w14:paraId="78FE2237">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DFE4584">
      <w:pPr>
        <w:widowControl/>
        <w:spacing w:line="360" w:lineRule="auto"/>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5CC4FDDD">
      <w:pPr>
        <w:widowControl/>
        <w:spacing w:line="360" w:lineRule="auto"/>
        <w:jc w:val="left"/>
        <w:rPr>
          <w:rFonts w:ascii="宋体" w:hAnsi="宋体" w:cs="宋体"/>
          <w:color w:val="000000"/>
          <w:kern w:val="0"/>
          <w:sz w:val="24"/>
          <w:szCs w:val="24"/>
        </w:rPr>
      </w:pPr>
    </w:p>
    <w:p w14:paraId="6DA94615">
      <w:pPr>
        <w:widowControl/>
        <w:spacing w:line="360" w:lineRule="auto"/>
        <w:jc w:val="left"/>
        <w:rPr>
          <w:rFonts w:ascii="宋体" w:hAnsi="宋体" w:cs="宋体"/>
          <w:color w:val="000000"/>
          <w:kern w:val="0"/>
          <w:sz w:val="24"/>
          <w:szCs w:val="24"/>
        </w:rPr>
      </w:pPr>
    </w:p>
    <w:p w14:paraId="694565D5">
      <w:pPr>
        <w:widowControl/>
        <w:spacing w:line="360" w:lineRule="auto"/>
        <w:jc w:val="left"/>
        <w:rPr>
          <w:rFonts w:ascii="宋体" w:hAnsi="宋体" w:cs="宋体"/>
          <w:color w:val="000000"/>
          <w:kern w:val="0"/>
          <w:sz w:val="24"/>
          <w:szCs w:val="24"/>
        </w:rPr>
      </w:pPr>
    </w:p>
    <w:p w14:paraId="7429A6FC">
      <w:pPr>
        <w:widowControl/>
        <w:spacing w:line="360" w:lineRule="auto"/>
        <w:jc w:val="left"/>
        <w:rPr>
          <w:rFonts w:ascii="宋体" w:hAnsi="宋体" w:cs="宋体"/>
          <w:color w:val="000000"/>
          <w:kern w:val="0"/>
          <w:sz w:val="24"/>
          <w:szCs w:val="24"/>
        </w:rPr>
      </w:pPr>
    </w:p>
    <w:p w14:paraId="2A866B1D">
      <w:pPr>
        <w:widowControl/>
        <w:spacing w:line="360" w:lineRule="auto"/>
        <w:jc w:val="left"/>
        <w:rPr>
          <w:rFonts w:ascii="宋体" w:hAnsi="宋体" w:cs="宋体"/>
          <w:color w:val="000000"/>
          <w:kern w:val="0"/>
          <w:sz w:val="24"/>
          <w:szCs w:val="24"/>
        </w:rPr>
      </w:pPr>
    </w:p>
    <w:p w14:paraId="6186556C">
      <w:pPr>
        <w:widowControl/>
        <w:spacing w:line="360" w:lineRule="auto"/>
        <w:jc w:val="left"/>
        <w:rPr>
          <w:rFonts w:ascii="宋体" w:hAnsi="宋体" w:cs="宋体"/>
          <w:color w:val="000000"/>
          <w:kern w:val="0"/>
          <w:sz w:val="24"/>
          <w:szCs w:val="24"/>
        </w:rPr>
      </w:pPr>
    </w:p>
    <w:p w14:paraId="27CCC9CA">
      <w:pPr>
        <w:widowControl/>
        <w:spacing w:line="360" w:lineRule="auto"/>
        <w:jc w:val="left"/>
        <w:rPr>
          <w:rFonts w:ascii="宋体" w:hAnsi="宋体" w:cs="宋体"/>
          <w:color w:val="000000"/>
          <w:kern w:val="0"/>
          <w:sz w:val="24"/>
          <w:szCs w:val="24"/>
        </w:rPr>
      </w:pPr>
    </w:p>
    <w:p w14:paraId="117DF2DC">
      <w:pPr>
        <w:widowControl/>
        <w:spacing w:line="360" w:lineRule="auto"/>
        <w:jc w:val="left"/>
        <w:rPr>
          <w:rFonts w:ascii="宋体" w:hAnsi="宋体" w:cs="宋体"/>
          <w:color w:val="000000"/>
          <w:kern w:val="0"/>
          <w:sz w:val="24"/>
          <w:szCs w:val="24"/>
        </w:rPr>
      </w:pPr>
    </w:p>
    <w:p w14:paraId="2B7CFE55">
      <w:pPr>
        <w:widowControl/>
        <w:spacing w:line="360" w:lineRule="auto"/>
        <w:jc w:val="left"/>
        <w:rPr>
          <w:rFonts w:ascii="宋体" w:hAnsi="宋体" w:cs="宋体"/>
          <w:color w:val="000000"/>
          <w:kern w:val="0"/>
          <w:sz w:val="24"/>
          <w:szCs w:val="24"/>
        </w:rPr>
      </w:pPr>
    </w:p>
    <w:p w14:paraId="4E490BAC">
      <w:pPr>
        <w:widowControl/>
        <w:spacing w:line="360" w:lineRule="auto"/>
        <w:jc w:val="left"/>
        <w:rPr>
          <w:rFonts w:ascii="宋体" w:hAnsi="宋体" w:cs="宋体"/>
          <w:color w:val="000000"/>
          <w:kern w:val="0"/>
          <w:sz w:val="24"/>
          <w:szCs w:val="24"/>
        </w:rPr>
      </w:pPr>
    </w:p>
    <w:p w14:paraId="4CF1D7B7">
      <w:pPr>
        <w:widowControl/>
        <w:spacing w:line="360" w:lineRule="auto"/>
        <w:jc w:val="left"/>
        <w:rPr>
          <w:rFonts w:ascii="宋体" w:hAnsi="宋体" w:cs="宋体"/>
          <w:color w:val="000000"/>
          <w:kern w:val="0"/>
          <w:sz w:val="24"/>
          <w:szCs w:val="24"/>
        </w:rPr>
      </w:pPr>
    </w:p>
    <w:p w14:paraId="7BE2452F">
      <w:pPr>
        <w:widowControl/>
        <w:spacing w:line="360" w:lineRule="auto"/>
        <w:jc w:val="left"/>
        <w:rPr>
          <w:rFonts w:ascii="宋体" w:hAnsi="宋体" w:cs="宋体"/>
          <w:color w:val="000000"/>
          <w:kern w:val="0"/>
          <w:sz w:val="24"/>
          <w:szCs w:val="24"/>
        </w:rPr>
      </w:pPr>
    </w:p>
    <w:p w14:paraId="5EA44B42">
      <w:pPr>
        <w:widowControl/>
        <w:spacing w:line="360" w:lineRule="auto"/>
        <w:jc w:val="left"/>
        <w:rPr>
          <w:rFonts w:ascii="宋体" w:hAnsi="宋体" w:cs="宋体"/>
          <w:color w:val="000000"/>
          <w:kern w:val="0"/>
          <w:sz w:val="24"/>
          <w:szCs w:val="24"/>
        </w:rPr>
      </w:pPr>
    </w:p>
    <w:p w14:paraId="6CC5630E">
      <w:pPr>
        <w:widowControl/>
        <w:spacing w:line="360" w:lineRule="auto"/>
        <w:jc w:val="left"/>
        <w:rPr>
          <w:rFonts w:ascii="宋体" w:hAnsi="宋体" w:cs="宋体"/>
          <w:color w:val="000000"/>
          <w:kern w:val="0"/>
          <w:sz w:val="24"/>
          <w:szCs w:val="24"/>
        </w:rPr>
      </w:pPr>
    </w:p>
    <w:p w14:paraId="425C1F6F">
      <w:pPr>
        <w:widowControl/>
        <w:spacing w:line="360" w:lineRule="auto"/>
        <w:jc w:val="left"/>
        <w:rPr>
          <w:rFonts w:ascii="宋体" w:hAnsi="宋体" w:cs="宋体"/>
          <w:color w:val="000000"/>
          <w:kern w:val="0"/>
          <w:sz w:val="24"/>
          <w:szCs w:val="24"/>
        </w:rPr>
      </w:pPr>
    </w:p>
    <w:p w14:paraId="6E13460A">
      <w:pPr>
        <w:widowControl/>
        <w:spacing w:line="360" w:lineRule="auto"/>
        <w:jc w:val="right"/>
      </w:pPr>
      <w:r>
        <w:rPr>
          <w:rFonts w:hint="eastAsia" w:ascii="宋体" w:hAnsi="宋体" w:cs="宋体"/>
          <w:color w:val="000000"/>
          <w:kern w:val="0"/>
          <w:sz w:val="24"/>
          <w:szCs w:val="24"/>
        </w:rPr>
        <w:t xml:space="preserve">供应商名称： （加盖公章） </w:t>
      </w:r>
    </w:p>
    <w:p w14:paraId="7BDAB508">
      <w:pPr>
        <w:widowControl/>
        <w:spacing w:line="360" w:lineRule="auto"/>
        <w:jc w:val="left"/>
        <w:rPr>
          <w:rFonts w:ascii="宋体" w:hAnsi="宋体" w:cs="宋体"/>
          <w:b/>
          <w:color w:val="000000"/>
          <w:kern w:val="0"/>
          <w:sz w:val="28"/>
          <w:szCs w:val="28"/>
        </w:rPr>
      </w:pPr>
    </w:p>
    <w:p w14:paraId="4AA44221">
      <w:pPr>
        <w:widowControl/>
        <w:spacing w:line="360" w:lineRule="auto"/>
        <w:jc w:val="left"/>
        <w:rPr>
          <w:rFonts w:ascii="宋体" w:hAnsi="宋体" w:cs="宋体"/>
          <w:b/>
          <w:color w:val="000000"/>
          <w:kern w:val="0"/>
          <w:sz w:val="28"/>
          <w:szCs w:val="28"/>
        </w:rPr>
      </w:pPr>
    </w:p>
    <w:p w14:paraId="3B7BAF14">
      <w:pPr>
        <w:widowControl/>
        <w:spacing w:line="360" w:lineRule="auto"/>
        <w:jc w:val="left"/>
        <w:rPr>
          <w:rFonts w:ascii="宋体" w:hAnsi="宋体" w:cs="宋体"/>
          <w:b/>
          <w:color w:val="000000"/>
          <w:kern w:val="0"/>
          <w:sz w:val="28"/>
          <w:szCs w:val="28"/>
        </w:rPr>
      </w:pPr>
    </w:p>
    <w:p w14:paraId="507BEFF2">
      <w:pPr>
        <w:widowControl/>
        <w:spacing w:line="360" w:lineRule="auto"/>
        <w:jc w:val="left"/>
      </w:pPr>
      <w:r>
        <w:rPr>
          <w:rFonts w:hint="eastAsia" w:ascii="宋体" w:hAnsi="宋体" w:cs="宋体"/>
          <w:b/>
          <w:color w:val="000000"/>
          <w:kern w:val="0"/>
          <w:sz w:val="28"/>
          <w:szCs w:val="28"/>
        </w:rPr>
        <w:t xml:space="preserve">未提供或未按要求提供以上材料的，将不能通过资格审查。 </w:t>
      </w:r>
    </w:p>
    <w:p w14:paraId="5BDB1F37">
      <w:pPr>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41A7E9DD">
      <w:pPr>
        <w:widowControl/>
        <w:spacing w:line="360" w:lineRule="auto"/>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24F5C3BD">
      <w:pPr>
        <w:widowControl/>
        <w:spacing w:line="360" w:lineRule="auto"/>
        <w:ind w:firstLine="420" w:firstLineChars="200"/>
        <w:jc w:val="left"/>
      </w:pPr>
      <w:r>
        <w:rPr>
          <w:rFonts w:hint="eastAsia" w:ascii="宋体" w:hAnsi="宋体" w:cs="宋体"/>
          <w:color w:val="000000"/>
          <w:kern w:val="0"/>
        </w:rPr>
        <w:t>致：南京市疾病预防控制中心</w:t>
      </w:r>
    </w:p>
    <w:p w14:paraId="5236069B">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76F15099">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6D9C69CA">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4B56892C">
      <w:pPr>
        <w:widowControl/>
        <w:spacing w:line="360" w:lineRule="auto"/>
        <w:ind w:firstLine="420" w:firstLineChars="200"/>
        <w:jc w:val="right"/>
        <w:rPr>
          <w:rFonts w:ascii="宋体" w:hAnsi="宋体" w:cs="宋体"/>
          <w:color w:val="000000"/>
          <w:kern w:val="0"/>
        </w:rPr>
      </w:pPr>
    </w:p>
    <w:p w14:paraId="67EC9A46">
      <w:pPr>
        <w:widowControl/>
        <w:spacing w:line="360" w:lineRule="auto"/>
        <w:ind w:firstLine="420" w:firstLineChars="200"/>
        <w:jc w:val="right"/>
        <w:rPr>
          <w:rFonts w:ascii="宋体" w:hAnsi="宋体" w:cs="宋体"/>
          <w:color w:val="000000"/>
          <w:kern w:val="0"/>
        </w:rPr>
      </w:pPr>
    </w:p>
    <w:p w14:paraId="36A49BFB">
      <w:pPr>
        <w:widowControl/>
        <w:spacing w:line="360" w:lineRule="auto"/>
        <w:ind w:firstLine="420" w:firstLineChars="200"/>
        <w:jc w:val="right"/>
        <w:rPr>
          <w:rFonts w:ascii="宋体" w:hAnsi="宋体" w:cs="宋体"/>
          <w:color w:val="000000"/>
          <w:kern w:val="0"/>
        </w:rPr>
      </w:pPr>
    </w:p>
    <w:p w14:paraId="7937107D">
      <w:pPr>
        <w:widowControl/>
        <w:spacing w:line="360" w:lineRule="auto"/>
        <w:ind w:firstLine="420" w:firstLineChars="200"/>
        <w:jc w:val="right"/>
        <w:rPr>
          <w:rFonts w:ascii="宋体" w:hAnsi="宋体" w:cs="宋体"/>
          <w:color w:val="000000"/>
          <w:kern w:val="0"/>
        </w:rPr>
      </w:pPr>
    </w:p>
    <w:p w14:paraId="3754BC29">
      <w:pPr>
        <w:widowControl/>
        <w:spacing w:line="360" w:lineRule="auto"/>
        <w:ind w:firstLine="420" w:firstLineChars="200"/>
        <w:jc w:val="right"/>
      </w:pPr>
      <w:r>
        <w:rPr>
          <w:rFonts w:hint="eastAsia" w:ascii="宋体" w:hAnsi="宋体" w:cs="宋体"/>
          <w:color w:val="000000"/>
          <w:kern w:val="0"/>
        </w:rPr>
        <w:t xml:space="preserve">声明人：（公章） </w:t>
      </w:r>
    </w:p>
    <w:p w14:paraId="3A53715A">
      <w:pPr>
        <w:widowControl/>
        <w:spacing w:line="360" w:lineRule="auto"/>
        <w:ind w:firstLine="420" w:firstLineChars="200"/>
        <w:jc w:val="right"/>
        <w:rPr>
          <w:rFonts w:ascii="宋体" w:hAnsi="宋体" w:cs="宋体"/>
          <w:b/>
          <w:color w:val="000000"/>
          <w:kern w:val="0"/>
        </w:rPr>
      </w:pPr>
      <w:r>
        <w:rPr>
          <w:rFonts w:hint="eastAsia" w:ascii="宋体" w:hAnsi="宋体" w:cs="宋体"/>
          <w:color w:val="000000"/>
          <w:kern w:val="0"/>
        </w:rPr>
        <w:t xml:space="preserve">年 月 日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35FA790F">
        <w:pPr>
          <w:pStyle w:val="14"/>
          <w:jc w:val="center"/>
        </w:pPr>
        <w:r>
          <w:fldChar w:fldCharType="begin"/>
        </w:r>
        <w:r>
          <w:instrText xml:space="preserve">PAGE   \* MERGEFORMAT</w:instrText>
        </w:r>
        <w:r>
          <w:fldChar w:fldCharType="separate"/>
        </w:r>
        <w:r>
          <w:rPr>
            <w:lang w:val="zh-CN"/>
          </w:rPr>
          <w:t>21</w:t>
        </w:r>
        <w:r>
          <w:rPr>
            <w:lang w:val="zh-CN"/>
          </w:rPr>
          <w:fldChar w:fldCharType="end"/>
        </w:r>
      </w:p>
    </w:sdtContent>
  </w:sdt>
  <w:p w14:paraId="697B3EA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A8154"/>
    <w:multiLevelType w:val="singleLevel"/>
    <w:tmpl w:val="35CA815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6453"/>
    <w:rsid w:val="000312DE"/>
    <w:rsid w:val="00036F24"/>
    <w:rsid w:val="000440C8"/>
    <w:rsid w:val="000474D5"/>
    <w:rsid w:val="00055A7A"/>
    <w:rsid w:val="0005737B"/>
    <w:rsid w:val="000726D8"/>
    <w:rsid w:val="00091885"/>
    <w:rsid w:val="000931DC"/>
    <w:rsid w:val="00096F69"/>
    <w:rsid w:val="000A0927"/>
    <w:rsid w:val="000A1467"/>
    <w:rsid w:val="000A6769"/>
    <w:rsid w:val="000A7235"/>
    <w:rsid w:val="000B6810"/>
    <w:rsid w:val="000D3975"/>
    <w:rsid w:val="000D3B95"/>
    <w:rsid w:val="000D5040"/>
    <w:rsid w:val="000D6508"/>
    <w:rsid w:val="000F53A3"/>
    <w:rsid w:val="001055D6"/>
    <w:rsid w:val="00110BD8"/>
    <w:rsid w:val="00115D42"/>
    <w:rsid w:val="00151C8B"/>
    <w:rsid w:val="00160407"/>
    <w:rsid w:val="001614D0"/>
    <w:rsid w:val="0018678B"/>
    <w:rsid w:val="001A0BD6"/>
    <w:rsid w:val="001A7CEE"/>
    <w:rsid w:val="001F0AE0"/>
    <w:rsid w:val="00207EC7"/>
    <w:rsid w:val="00211C00"/>
    <w:rsid w:val="002138BD"/>
    <w:rsid w:val="002175F6"/>
    <w:rsid w:val="002364BA"/>
    <w:rsid w:val="00237C0B"/>
    <w:rsid w:val="00244094"/>
    <w:rsid w:val="00246690"/>
    <w:rsid w:val="00262D23"/>
    <w:rsid w:val="00275204"/>
    <w:rsid w:val="00275A60"/>
    <w:rsid w:val="0028478E"/>
    <w:rsid w:val="002B2C06"/>
    <w:rsid w:val="002C5D80"/>
    <w:rsid w:val="002D48C7"/>
    <w:rsid w:val="002F4172"/>
    <w:rsid w:val="003015F8"/>
    <w:rsid w:val="00302453"/>
    <w:rsid w:val="00317BDE"/>
    <w:rsid w:val="0032059A"/>
    <w:rsid w:val="003207F5"/>
    <w:rsid w:val="003226A2"/>
    <w:rsid w:val="00322E12"/>
    <w:rsid w:val="00384C91"/>
    <w:rsid w:val="0038670E"/>
    <w:rsid w:val="003D04C7"/>
    <w:rsid w:val="003D07F4"/>
    <w:rsid w:val="003D3453"/>
    <w:rsid w:val="004006E6"/>
    <w:rsid w:val="00420AE2"/>
    <w:rsid w:val="00430D5D"/>
    <w:rsid w:val="00434AF0"/>
    <w:rsid w:val="00445621"/>
    <w:rsid w:val="00456359"/>
    <w:rsid w:val="00461A98"/>
    <w:rsid w:val="00475015"/>
    <w:rsid w:val="0048056F"/>
    <w:rsid w:val="004B0417"/>
    <w:rsid w:val="004D1EEE"/>
    <w:rsid w:val="004F0CA3"/>
    <w:rsid w:val="004F449A"/>
    <w:rsid w:val="004F6401"/>
    <w:rsid w:val="00507221"/>
    <w:rsid w:val="0051643B"/>
    <w:rsid w:val="00556FCF"/>
    <w:rsid w:val="005902A4"/>
    <w:rsid w:val="00591415"/>
    <w:rsid w:val="005A3731"/>
    <w:rsid w:val="005B5C3A"/>
    <w:rsid w:val="005C6DDA"/>
    <w:rsid w:val="005D66E7"/>
    <w:rsid w:val="005E31EA"/>
    <w:rsid w:val="0060768F"/>
    <w:rsid w:val="00636789"/>
    <w:rsid w:val="00685C71"/>
    <w:rsid w:val="006939FC"/>
    <w:rsid w:val="00696EFD"/>
    <w:rsid w:val="006A6F7D"/>
    <w:rsid w:val="006A7F3B"/>
    <w:rsid w:val="006D0728"/>
    <w:rsid w:val="006D1B26"/>
    <w:rsid w:val="006F1894"/>
    <w:rsid w:val="007122E2"/>
    <w:rsid w:val="007160B3"/>
    <w:rsid w:val="007278B5"/>
    <w:rsid w:val="0073193D"/>
    <w:rsid w:val="0073253D"/>
    <w:rsid w:val="00743218"/>
    <w:rsid w:val="00773B84"/>
    <w:rsid w:val="0079663A"/>
    <w:rsid w:val="007B2493"/>
    <w:rsid w:val="007D21F8"/>
    <w:rsid w:val="007E2169"/>
    <w:rsid w:val="007E2D83"/>
    <w:rsid w:val="007E582A"/>
    <w:rsid w:val="007F2513"/>
    <w:rsid w:val="007F5568"/>
    <w:rsid w:val="00802BE4"/>
    <w:rsid w:val="00802E15"/>
    <w:rsid w:val="0080774A"/>
    <w:rsid w:val="008257DE"/>
    <w:rsid w:val="00834022"/>
    <w:rsid w:val="00852A78"/>
    <w:rsid w:val="008578EA"/>
    <w:rsid w:val="008724D7"/>
    <w:rsid w:val="00877C6E"/>
    <w:rsid w:val="008974EE"/>
    <w:rsid w:val="008A1192"/>
    <w:rsid w:val="008A2FE7"/>
    <w:rsid w:val="008B615F"/>
    <w:rsid w:val="008D3DF7"/>
    <w:rsid w:val="008D6299"/>
    <w:rsid w:val="008E511F"/>
    <w:rsid w:val="008E6DE6"/>
    <w:rsid w:val="008F496A"/>
    <w:rsid w:val="0090203F"/>
    <w:rsid w:val="0090581E"/>
    <w:rsid w:val="00912B3B"/>
    <w:rsid w:val="00965B4E"/>
    <w:rsid w:val="00966F02"/>
    <w:rsid w:val="00976882"/>
    <w:rsid w:val="009843DE"/>
    <w:rsid w:val="00992B45"/>
    <w:rsid w:val="00994F4E"/>
    <w:rsid w:val="009A15C7"/>
    <w:rsid w:val="009D459B"/>
    <w:rsid w:val="009F6A1A"/>
    <w:rsid w:val="00A01BAB"/>
    <w:rsid w:val="00A30F31"/>
    <w:rsid w:val="00A3374C"/>
    <w:rsid w:val="00A34219"/>
    <w:rsid w:val="00A471E2"/>
    <w:rsid w:val="00A53DF4"/>
    <w:rsid w:val="00A550B7"/>
    <w:rsid w:val="00A774DB"/>
    <w:rsid w:val="00AB53F1"/>
    <w:rsid w:val="00AD05DD"/>
    <w:rsid w:val="00B112E6"/>
    <w:rsid w:val="00B4509D"/>
    <w:rsid w:val="00B5406F"/>
    <w:rsid w:val="00B6306C"/>
    <w:rsid w:val="00B66227"/>
    <w:rsid w:val="00B669BB"/>
    <w:rsid w:val="00BA6CD3"/>
    <w:rsid w:val="00BB003F"/>
    <w:rsid w:val="00BB21A0"/>
    <w:rsid w:val="00BB7623"/>
    <w:rsid w:val="00BC2E33"/>
    <w:rsid w:val="00BC779B"/>
    <w:rsid w:val="00BF372A"/>
    <w:rsid w:val="00BF5482"/>
    <w:rsid w:val="00C17C51"/>
    <w:rsid w:val="00C37A88"/>
    <w:rsid w:val="00C52F06"/>
    <w:rsid w:val="00C61BBE"/>
    <w:rsid w:val="00C95981"/>
    <w:rsid w:val="00C95B1E"/>
    <w:rsid w:val="00CA61E3"/>
    <w:rsid w:val="00CD66C8"/>
    <w:rsid w:val="00CF05AE"/>
    <w:rsid w:val="00CF23B0"/>
    <w:rsid w:val="00D2643A"/>
    <w:rsid w:val="00D26832"/>
    <w:rsid w:val="00D275EA"/>
    <w:rsid w:val="00D50DF1"/>
    <w:rsid w:val="00D63741"/>
    <w:rsid w:val="00D80FC7"/>
    <w:rsid w:val="00D91F5B"/>
    <w:rsid w:val="00DA544D"/>
    <w:rsid w:val="00DA7067"/>
    <w:rsid w:val="00DB1BFF"/>
    <w:rsid w:val="00DC09FA"/>
    <w:rsid w:val="00E05FF8"/>
    <w:rsid w:val="00E122FA"/>
    <w:rsid w:val="00E21328"/>
    <w:rsid w:val="00E44CBB"/>
    <w:rsid w:val="00E457B7"/>
    <w:rsid w:val="00E54783"/>
    <w:rsid w:val="00E60525"/>
    <w:rsid w:val="00E702D6"/>
    <w:rsid w:val="00E728B6"/>
    <w:rsid w:val="00E75E92"/>
    <w:rsid w:val="00EC3B1A"/>
    <w:rsid w:val="00ED7C2A"/>
    <w:rsid w:val="00EE2EE9"/>
    <w:rsid w:val="00EE3266"/>
    <w:rsid w:val="00EE3405"/>
    <w:rsid w:val="00EE63E3"/>
    <w:rsid w:val="00EF1B88"/>
    <w:rsid w:val="00F02354"/>
    <w:rsid w:val="00F055AE"/>
    <w:rsid w:val="00F1023D"/>
    <w:rsid w:val="00F3480E"/>
    <w:rsid w:val="00F53A4B"/>
    <w:rsid w:val="00F64E0C"/>
    <w:rsid w:val="00F860EE"/>
    <w:rsid w:val="00F95DDD"/>
    <w:rsid w:val="00FA7D91"/>
    <w:rsid w:val="00FB0250"/>
    <w:rsid w:val="00FD3C77"/>
    <w:rsid w:val="00FE7B80"/>
    <w:rsid w:val="060E0879"/>
    <w:rsid w:val="0642342D"/>
    <w:rsid w:val="066A3FC1"/>
    <w:rsid w:val="07223F53"/>
    <w:rsid w:val="07AC7358"/>
    <w:rsid w:val="07F742BB"/>
    <w:rsid w:val="0A0921A0"/>
    <w:rsid w:val="0D031628"/>
    <w:rsid w:val="0D35493D"/>
    <w:rsid w:val="0F6E1507"/>
    <w:rsid w:val="12695252"/>
    <w:rsid w:val="145A752E"/>
    <w:rsid w:val="161A3BAF"/>
    <w:rsid w:val="1C4A5E6A"/>
    <w:rsid w:val="1F1620F4"/>
    <w:rsid w:val="200A3A07"/>
    <w:rsid w:val="217C6D52"/>
    <w:rsid w:val="225641CF"/>
    <w:rsid w:val="25346D88"/>
    <w:rsid w:val="25AC730F"/>
    <w:rsid w:val="26A9280B"/>
    <w:rsid w:val="2748239B"/>
    <w:rsid w:val="29122691"/>
    <w:rsid w:val="2AD450BA"/>
    <w:rsid w:val="2B7D7758"/>
    <w:rsid w:val="2FF64619"/>
    <w:rsid w:val="33AC6D1D"/>
    <w:rsid w:val="34D66156"/>
    <w:rsid w:val="3619279E"/>
    <w:rsid w:val="391D4354"/>
    <w:rsid w:val="39BFBEB0"/>
    <w:rsid w:val="3A5F274A"/>
    <w:rsid w:val="3AD932D5"/>
    <w:rsid w:val="3D9C57EC"/>
    <w:rsid w:val="3FD994FC"/>
    <w:rsid w:val="4093314D"/>
    <w:rsid w:val="419B050B"/>
    <w:rsid w:val="48561630"/>
    <w:rsid w:val="48D65B21"/>
    <w:rsid w:val="4F2B6CF2"/>
    <w:rsid w:val="4FFF5A31"/>
    <w:rsid w:val="51842EFD"/>
    <w:rsid w:val="53876B42"/>
    <w:rsid w:val="54CA015C"/>
    <w:rsid w:val="5770773F"/>
    <w:rsid w:val="57E5652D"/>
    <w:rsid w:val="584530CD"/>
    <w:rsid w:val="588E6ABD"/>
    <w:rsid w:val="59D81B5C"/>
    <w:rsid w:val="5BB74ED6"/>
    <w:rsid w:val="5CB336C2"/>
    <w:rsid w:val="5DC51DE0"/>
    <w:rsid w:val="5DCD3CEB"/>
    <w:rsid w:val="5E4B7185"/>
    <w:rsid w:val="5FEAEC69"/>
    <w:rsid w:val="63844E4C"/>
    <w:rsid w:val="64431560"/>
    <w:rsid w:val="64675204"/>
    <w:rsid w:val="648C220A"/>
    <w:rsid w:val="64D11070"/>
    <w:rsid w:val="650364A0"/>
    <w:rsid w:val="6A5D9906"/>
    <w:rsid w:val="6B8A6D77"/>
    <w:rsid w:val="6C9360FF"/>
    <w:rsid w:val="6D5B6C1D"/>
    <w:rsid w:val="6F72024E"/>
    <w:rsid w:val="6FF7760D"/>
    <w:rsid w:val="72676064"/>
    <w:rsid w:val="72A25F86"/>
    <w:rsid w:val="72FF06FF"/>
    <w:rsid w:val="75CB2777"/>
    <w:rsid w:val="75FD24C5"/>
    <w:rsid w:val="76F16B6A"/>
    <w:rsid w:val="777A2396"/>
    <w:rsid w:val="792F0F5E"/>
    <w:rsid w:val="7AED903C"/>
    <w:rsid w:val="7BB10350"/>
    <w:rsid w:val="7CC22918"/>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customStyle="1" w:styleId="26">
    <w:name w:val="标题 1 字符"/>
    <w:basedOn w:val="23"/>
    <w:link w:val="2"/>
    <w:qFormat/>
    <w:uiPriority w:val="9"/>
    <w:rPr>
      <w:rFonts w:ascii="Times New Roman" w:hAnsi="Times New Roman" w:eastAsia="宋体" w:cs="Times New Roman"/>
      <w:b/>
      <w:bCs/>
      <w:kern w:val="44"/>
      <w:sz w:val="44"/>
      <w:szCs w:val="44"/>
    </w:rPr>
  </w:style>
  <w:style w:type="paragraph" w:customStyle="1" w:styleId="27">
    <w:name w:val="首行缩进"/>
    <w:basedOn w:val="1"/>
    <w:qFormat/>
    <w:uiPriority w:val="0"/>
    <w:pPr>
      <w:ind w:firstLine="480" w:firstLineChars="200"/>
    </w:pPr>
    <w:rPr>
      <w:rFonts w:ascii="Calibri" w:hAnsi="Calibri"/>
      <w:szCs w:val="20"/>
      <w:lang w:val="zh-CN"/>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8211</Words>
  <Characters>8459</Characters>
  <Lines>66</Lines>
  <Paragraphs>18</Paragraphs>
  <TotalTime>0</TotalTime>
  <ScaleCrop>false</ScaleCrop>
  <LinksUpToDate>false</LinksUpToDate>
  <CharactersWithSpaces>8822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2024-09-24T06:00:00Z</dcterms:created>
  <dc:creator>赵璧</dc:creator>
  <cp:lastModifiedBy>汪娜</cp:lastModifiedBy>
  <cp:lastPrinted>2021-09-01T06:56:00Z</cp:lastPrinted>
  <dcterms:modified xsi:type="dcterms:W3CDTF">2024-10-09T00:49:10Z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8FF8682A3F9D486A87B1DFF55A294505_13</vt:lpwstr>
  </property>
</Properties>
</file>