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F6F49">
      <w:pPr>
        <w:spacing w:line="360" w:lineRule="auto"/>
        <w:jc w:val="center"/>
        <w:rPr>
          <w:rFonts w:eastAsia="黑体"/>
          <w:b/>
          <w:bCs/>
          <w:sz w:val="52"/>
          <w:szCs w:val="36"/>
        </w:rPr>
      </w:pPr>
      <w:r>
        <w:rPr>
          <w:rFonts w:ascii="华文中宋" w:hAnsi="华文中宋" w:eastAsia="华文中宋"/>
          <w:sz w:val="40"/>
        </w:rPr>
        <w:tab/>
      </w:r>
    </w:p>
    <w:p w14:paraId="478D2B25">
      <w:pPr>
        <w:spacing w:line="360" w:lineRule="auto"/>
        <w:jc w:val="center"/>
        <w:rPr>
          <w:rFonts w:eastAsia="黑体"/>
          <w:b/>
          <w:bCs/>
          <w:sz w:val="52"/>
          <w:szCs w:val="36"/>
        </w:rPr>
      </w:pPr>
      <w:r>
        <w:rPr>
          <w:rFonts w:hint="eastAsia" w:eastAsia="黑体"/>
          <w:b/>
          <w:bCs/>
          <w:sz w:val="52"/>
          <w:szCs w:val="36"/>
        </w:rPr>
        <w:t>南京市疾病预防控制中心</w:t>
      </w:r>
    </w:p>
    <w:p w14:paraId="0DBD0C4D">
      <w:pPr>
        <w:spacing w:line="360" w:lineRule="auto"/>
        <w:jc w:val="center"/>
        <w:rPr>
          <w:rFonts w:eastAsia="黑体"/>
          <w:b/>
          <w:bCs/>
          <w:sz w:val="52"/>
          <w:szCs w:val="36"/>
        </w:rPr>
      </w:pPr>
      <w:r>
        <w:rPr>
          <w:rFonts w:hint="eastAsia" w:eastAsia="黑体"/>
          <w:b/>
          <w:bCs/>
          <w:sz w:val="52"/>
          <w:szCs w:val="36"/>
        </w:rPr>
        <w:t>网络安全运维服务</w:t>
      </w:r>
    </w:p>
    <w:p w14:paraId="288DA1FE">
      <w:pPr>
        <w:spacing w:line="360" w:lineRule="auto"/>
        <w:jc w:val="center"/>
        <w:rPr>
          <w:sz w:val="44"/>
          <w:szCs w:val="28"/>
        </w:rPr>
      </w:pPr>
    </w:p>
    <w:p w14:paraId="5C8C53B4">
      <w:pPr>
        <w:spacing w:line="360" w:lineRule="auto"/>
        <w:jc w:val="center"/>
        <w:rPr>
          <w:sz w:val="28"/>
          <w:szCs w:val="28"/>
        </w:rPr>
      </w:pPr>
    </w:p>
    <w:p w14:paraId="0E7416B5">
      <w:pPr>
        <w:spacing w:line="360" w:lineRule="auto"/>
        <w:jc w:val="center"/>
        <w:rPr>
          <w:sz w:val="24"/>
        </w:rPr>
      </w:pPr>
    </w:p>
    <w:p w14:paraId="1697C9F7">
      <w:pPr>
        <w:spacing w:line="360" w:lineRule="auto"/>
        <w:rPr>
          <w:sz w:val="24"/>
        </w:rPr>
      </w:pPr>
    </w:p>
    <w:p w14:paraId="582BC2A6">
      <w:pPr>
        <w:spacing w:line="360" w:lineRule="auto"/>
        <w:jc w:val="center"/>
        <w:rPr>
          <w:sz w:val="24"/>
        </w:rPr>
      </w:pPr>
    </w:p>
    <w:p w14:paraId="21D743CE">
      <w:pPr>
        <w:pStyle w:val="8"/>
        <w:rPr>
          <w:sz w:val="24"/>
        </w:rPr>
      </w:pPr>
    </w:p>
    <w:p w14:paraId="5A510615">
      <w:pPr>
        <w:pStyle w:val="8"/>
        <w:rPr>
          <w:sz w:val="24"/>
        </w:rPr>
      </w:pPr>
    </w:p>
    <w:p w14:paraId="71634212">
      <w:pPr>
        <w:spacing w:line="360" w:lineRule="auto"/>
        <w:jc w:val="center"/>
        <w:rPr>
          <w:sz w:val="24"/>
        </w:rPr>
      </w:pPr>
    </w:p>
    <w:p w14:paraId="07EAA2B4">
      <w:pPr>
        <w:spacing w:line="360" w:lineRule="auto"/>
        <w:jc w:val="center"/>
        <w:rPr>
          <w:sz w:val="24"/>
        </w:rPr>
      </w:pPr>
    </w:p>
    <w:p w14:paraId="4F709819">
      <w:pPr>
        <w:spacing w:line="360" w:lineRule="auto"/>
        <w:jc w:val="center"/>
        <w:rPr>
          <w:sz w:val="28"/>
          <w:szCs w:val="28"/>
        </w:rPr>
      </w:pPr>
    </w:p>
    <w:p w14:paraId="2D87E694">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51A57A08">
      <w:pPr>
        <w:spacing w:line="360" w:lineRule="auto"/>
        <w:jc w:val="center"/>
        <w:rPr>
          <w:sz w:val="28"/>
          <w:szCs w:val="28"/>
        </w:rPr>
      </w:pPr>
    </w:p>
    <w:p w14:paraId="54475C92">
      <w:pPr>
        <w:spacing w:line="360" w:lineRule="auto"/>
        <w:jc w:val="center"/>
        <w:rPr>
          <w:sz w:val="28"/>
          <w:szCs w:val="28"/>
        </w:rPr>
      </w:pPr>
    </w:p>
    <w:p w14:paraId="50B73ACF">
      <w:pPr>
        <w:spacing w:line="360" w:lineRule="auto"/>
        <w:jc w:val="center"/>
        <w:rPr>
          <w:sz w:val="28"/>
          <w:szCs w:val="28"/>
        </w:rPr>
      </w:pPr>
    </w:p>
    <w:p w14:paraId="2057F503">
      <w:pPr>
        <w:spacing w:line="360" w:lineRule="auto"/>
        <w:rPr>
          <w:sz w:val="24"/>
        </w:rPr>
      </w:pPr>
    </w:p>
    <w:p w14:paraId="695F3773">
      <w:pPr>
        <w:spacing w:line="360" w:lineRule="auto"/>
        <w:jc w:val="center"/>
        <w:rPr>
          <w:sz w:val="28"/>
          <w:szCs w:val="28"/>
        </w:rPr>
      </w:pPr>
      <w:r>
        <w:rPr>
          <w:rFonts w:hAnsiTheme="minorEastAsia"/>
          <w:sz w:val="28"/>
          <w:szCs w:val="28"/>
        </w:rPr>
        <w:t>南京市疾病预防控制中心</w:t>
      </w:r>
    </w:p>
    <w:p w14:paraId="04DF1BEF">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年8月</w:t>
      </w:r>
      <w:r>
        <w:rPr>
          <w:rFonts w:hint="eastAsia" w:hAnsiTheme="minorEastAsia"/>
          <w:sz w:val="28"/>
          <w:szCs w:val="28"/>
          <w:lang w:val="en-US" w:eastAsia="zh-CN"/>
        </w:rPr>
        <w:t>29</w:t>
      </w:r>
      <w:r>
        <w:rPr>
          <w:rFonts w:hint="eastAsia" w:hAnsiTheme="minorEastAsia"/>
          <w:sz w:val="28"/>
          <w:szCs w:val="28"/>
        </w:rPr>
        <w:t>日</w:t>
      </w:r>
    </w:p>
    <w:p w14:paraId="7E3F5B8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5FA7B46B"/>
    <w:p w14:paraId="3FC14D4E"/>
    <w:p w14:paraId="75BF7A68">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DC7D626">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rPr>
        <w:t>2024年度网络安全运维服务</w:t>
      </w:r>
      <w:r>
        <w:rPr>
          <w:rFonts w:ascii="仿宋" w:hAnsi="仿宋" w:eastAsia="仿宋"/>
          <w:sz w:val="24"/>
          <w:szCs w:val="28"/>
        </w:rPr>
        <w:t>开展</w:t>
      </w:r>
      <w:r>
        <w:rPr>
          <w:rFonts w:hint="eastAsia" w:ascii="仿宋" w:hAnsi="仿宋" w:eastAsia="仿宋"/>
          <w:sz w:val="24"/>
          <w:szCs w:val="28"/>
        </w:rPr>
        <w:t>内部采购，</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066F5F14">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14:paraId="799F2B9F">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6A597D27">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ascii="仿宋" w:hAnsi="仿宋" w:eastAsia="仿宋"/>
          <w:sz w:val="24"/>
          <w:szCs w:val="28"/>
        </w:rPr>
        <w:t>南京市疾病预防控制中心</w:t>
      </w:r>
      <w:r>
        <w:rPr>
          <w:rFonts w:hint="eastAsia" w:ascii="仿宋" w:hAnsi="仿宋" w:eastAsia="仿宋"/>
          <w:sz w:val="24"/>
          <w:szCs w:val="28"/>
        </w:rPr>
        <w:t>网络安全运维服务招标的潜在投标人应在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i w:val="0"/>
          <w:iCs w:val="0"/>
          <w:sz w:val="24"/>
          <w:szCs w:val="28"/>
          <w:u w:val="single"/>
          <w:lang w:val="en-US" w:eastAsia="zh-CN"/>
        </w:rPr>
        <w:t xml:space="preserve"> 9 </w:t>
      </w:r>
      <w:r>
        <w:rPr>
          <w:rFonts w:hint="eastAsia" w:ascii="仿宋" w:hAnsi="仿宋" w:eastAsia="仿宋"/>
          <w:i w:val="0"/>
          <w:iCs w:val="0"/>
          <w:sz w:val="24"/>
          <w:szCs w:val="28"/>
          <w:u w:val="single"/>
        </w:rPr>
        <w:t>月</w:t>
      </w:r>
      <w:r>
        <w:rPr>
          <w:rFonts w:hint="eastAsia" w:ascii="仿宋" w:hAnsi="仿宋" w:eastAsia="仿宋"/>
          <w:i w:val="0"/>
          <w:iCs w:val="0"/>
          <w:sz w:val="24"/>
          <w:szCs w:val="28"/>
          <w:u w:val="single"/>
          <w:lang w:val="en-US" w:eastAsia="zh-CN"/>
        </w:rPr>
        <w:t>10</w:t>
      </w:r>
      <w:r>
        <w:rPr>
          <w:rFonts w:hint="eastAsia" w:ascii="仿宋" w:hAnsi="仿宋" w:eastAsia="仿宋"/>
          <w:i w:val="0"/>
          <w:iCs w:val="0"/>
          <w:sz w:val="24"/>
          <w:szCs w:val="28"/>
          <w:u w:val="single"/>
        </w:rPr>
        <w:t>日</w:t>
      </w:r>
      <w:r>
        <w:rPr>
          <w:rFonts w:hint="eastAsia" w:ascii="仿宋" w:hAnsi="仿宋" w:eastAsia="仿宋"/>
          <w:sz w:val="24"/>
          <w:szCs w:val="28"/>
          <w:lang w:val="en-US" w:eastAsia="zh-CN"/>
        </w:rPr>
        <w:t>下午1</w:t>
      </w:r>
      <w:r>
        <w:rPr>
          <w:rFonts w:hint="eastAsia" w:ascii="仿宋" w:hAnsi="仿宋" w:eastAsia="仿宋"/>
          <w:bCs/>
          <w:color w:val="000000" w:themeColor="text1"/>
          <w:sz w:val="24"/>
          <w:szCs w:val="28"/>
          <w:u w:val="single"/>
          <w:lang w:val="en-US" w:eastAsia="zh-CN"/>
          <w14:textFill>
            <w14:solidFill>
              <w14:schemeClr w14:val="tx1"/>
            </w14:solidFill>
          </w14:textFill>
        </w:rPr>
        <w:t>5</w:t>
      </w:r>
      <w:r>
        <w:rPr>
          <w:rFonts w:hint="eastAsia" w:ascii="仿宋" w:hAnsi="仿宋" w:eastAsia="仿宋"/>
          <w:bCs/>
          <w:color w:val="000000" w:themeColor="text1"/>
          <w:sz w:val="24"/>
          <w:szCs w:val="28"/>
          <w:u w:val="single"/>
          <w14:textFill>
            <w14:solidFill>
              <w14:schemeClr w14:val="tx1"/>
            </w14:solidFill>
          </w14:textFill>
        </w:rPr>
        <w:t>点30分</w:t>
      </w:r>
      <w:r>
        <w:rPr>
          <w:rFonts w:hint="eastAsia" w:ascii="仿宋" w:hAnsi="仿宋" w:eastAsia="仿宋"/>
          <w:bCs/>
          <w:color w:val="000000" w:themeColor="text1"/>
          <w:sz w:val="24"/>
          <w:szCs w:val="28"/>
          <w14:textFill>
            <w14:solidFill>
              <w14:schemeClr w14:val="tx1"/>
            </w14:solidFill>
          </w14:textFill>
        </w:rPr>
        <w:t>（北京时间）前递交投标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06232DE5">
      <w:pPr>
        <w:rPr>
          <w:color w:val="000000" w:themeColor="text1"/>
          <w:sz w:val="24"/>
          <w:szCs w:val="28"/>
          <w14:textFill>
            <w14:solidFill>
              <w14:schemeClr w14:val="tx1"/>
            </w14:solidFill>
          </w14:textFill>
        </w:rPr>
      </w:pPr>
    </w:p>
    <w:p w14:paraId="0EA44CD0">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28359002"/>
      <w:bookmarkStart w:id="3" w:name="_Toc28359079"/>
      <w:bookmarkStart w:id="4" w:name="_Toc35393621"/>
      <w:bookmarkStart w:id="5" w:name="_Toc35393790"/>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502377E4">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南京市疾病预防控制中心</w:t>
      </w:r>
      <w:r>
        <w:rPr>
          <w:rFonts w:hint="eastAsia" w:ascii="仿宋" w:hAnsi="仿宋" w:eastAsia="仿宋"/>
          <w:sz w:val="24"/>
          <w:szCs w:val="28"/>
        </w:rPr>
        <w:t>网络安全运维服务；</w:t>
      </w:r>
    </w:p>
    <w:p w14:paraId="7BBB45B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采购预算：人民币1</w:t>
      </w:r>
      <w:r>
        <w:rPr>
          <w:rFonts w:ascii="仿宋" w:hAnsi="仿宋" w:eastAsia="仿宋" w:cs="仿宋"/>
          <w:sz w:val="24"/>
          <w:szCs w:val="24"/>
        </w:rPr>
        <w:t>7.6</w:t>
      </w:r>
      <w:r>
        <w:rPr>
          <w:rFonts w:hint="eastAsia" w:ascii="仿宋" w:hAnsi="仿宋" w:eastAsia="仿宋" w:cs="仿宋"/>
          <w:sz w:val="24"/>
          <w:szCs w:val="24"/>
        </w:rPr>
        <w:t>万元；</w:t>
      </w:r>
    </w:p>
    <w:p w14:paraId="5A6F2A51">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14:paraId="75B74A5A">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合同履行期限：12个月。</w:t>
      </w:r>
    </w:p>
    <w:p w14:paraId="13AC523D">
      <w:pPr>
        <w:pStyle w:val="3"/>
        <w:spacing w:line="360" w:lineRule="auto"/>
        <w:rPr>
          <w:rFonts w:ascii="黑体" w:hAnsi="黑体" w:cs="宋体"/>
          <w:b w:val="0"/>
          <w:sz w:val="24"/>
          <w:szCs w:val="28"/>
        </w:rPr>
      </w:pPr>
      <w:bookmarkStart w:id="7" w:name="_Toc28359003"/>
      <w:bookmarkStart w:id="8" w:name="_Toc35393791"/>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14:paraId="54DBA53B">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095EB5AF">
      <w:pPr>
        <w:spacing w:line="360" w:lineRule="auto"/>
        <w:ind w:firstLine="484" w:firstLineChars="202"/>
        <w:rPr>
          <w:rFonts w:ascii="仿宋" w:hAnsi="仿宋" w:eastAsia="仿宋"/>
          <w:sz w:val="24"/>
          <w:szCs w:val="28"/>
        </w:rPr>
      </w:pPr>
      <w:bookmarkStart w:id="11" w:name="_Toc35393623"/>
      <w:bookmarkStart w:id="12" w:name="_Toc35393792"/>
      <w:bookmarkStart w:id="13" w:name="_Toc28359004"/>
      <w:bookmarkStart w:id="14" w:name="_Toc28359081"/>
      <w:r>
        <w:rPr>
          <w:rFonts w:hint="eastAsia" w:ascii="仿宋" w:hAnsi="仿宋" w:eastAsia="仿宋"/>
          <w:sz w:val="24"/>
          <w:szCs w:val="28"/>
        </w:rPr>
        <w:t xml:space="preserve">（1）具有独立承担民事责任的能力（提供法人或者其他组织的营业执照；供应商为自然人的提供其身份证）； </w:t>
      </w:r>
    </w:p>
    <w:p w14:paraId="116CA79C">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1066C585">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51B43B7C">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0A5AD86B">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5A2D4894">
      <w:pPr>
        <w:pStyle w:val="3"/>
        <w:spacing w:line="360" w:lineRule="auto"/>
        <w:rPr>
          <w:rFonts w:ascii="仿宋" w:hAnsi="仿宋" w:eastAsia="仿宋" w:cs="Times New Roman"/>
          <w:b w:val="0"/>
          <w:bCs w:val="0"/>
          <w:sz w:val="24"/>
          <w:szCs w:val="28"/>
        </w:rPr>
      </w:pPr>
      <w:r>
        <w:rPr>
          <w:rFonts w:hint="eastAsia" w:ascii="黑体" w:hAnsi="黑体" w:cs="宋体"/>
          <w:b w:val="0"/>
          <w:sz w:val="24"/>
          <w:szCs w:val="28"/>
        </w:rPr>
        <w:t>三、获取招标文件</w:t>
      </w:r>
      <w:bookmarkEnd w:id="11"/>
      <w:bookmarkEnd w:id="12"/>
      <w:bookmarkEnd w:id="13"/>
      <w:bookmarkEnd w:id="14"/>
      <w:bookmarkStart w:id="15" w:name="_Toc28359082"/>
      <w:bookmarkStart w:id="16" w:name="_Toc28359005"/>
      <w:bookmarkStart w:id="17" w:name="_Toc35393793"/>
      <w:bookmarkStart w:id="18" w:name="_Toc35393624"/>
      <w:r>
        <w:rPr>
          <w:rFonts w:hint="eastAsia" w:ascii="黑体" w:hAnsi="黑体" w:cs="宋体"/>
          <w:b w:val="0"/>
          <w:sz w:val="24"/>
          <w:szCs w:val="28"/>
        </w:rPr>
        <w:t>：</w:t>
      </w:r>
      <w:r>
        <w:rPr>
          <w:rFonts w:ascii="仿宋" w:hAnsi="仿宋" w:eastAsia="仿宋" w:cs="Times New Roman"/>
          <w:b w:val="0"/>
          <w:bCs w:val="0"/>
          <w:sz w:val="24"/>
          <w:szCs w:val="28"/>
        </w:rPr>
        <w:t>详见南京市疾控中心官网。</w:t>
      </w:r>
    </w:p>
    <w:p w14:paraId="16462917">
      <w:pPr>
        <w:pStyle w:val="3"/>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1CA30A3C">
      <w:pPr>
        <w:spacing w:line="360" w:lineRule="auto"/>
        <w:rPr>
          <w:rFonts w:ascii="仿宋" w:hAnsi="仿宋" w:eastAsia="仿宋" w:cs="宋体"/>
          <w:sz w:val="24"/>
          <w:szCs w:val="28"/>
        </w:rPr>
      </w:pPr>
      <w:bookmarkStart w:id="19" w:name="_Toc35393794"/>
      <w:bookmarkStart w:id="20" w:name="_Toc35393625"/>
      <w:bookmarkStart w:id="21" w:name="_Toc28359084"/>
      <w:bookmarkStart w:id="22" w:name="_Toc28359007"/>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9</w:t>
      </w:r>
      <w:r>
        <w:rPr>
          <w:rFonts w:ascii="仿宋" w:hAnsi="仿宋" w:eastAsia="仿宋" w:cs="宋体"/>
          <w:sz w:val="24"/>
          <w:szCs w:val="28"/>
        </w:rPr>
        <w:t>月</w:t>
      </w:r>
      <w:r>
        <w:rPr>
          <w:rFonts w:hint="eastAsia" w:ascii="仿宋" w:hAnsi="仿宋" w:eastAsia="仿宋" w:cs="宋体"/>
          <w:sz w:val="24"/>
          <w:szCs w:val="28"/>
          <w:lang w:val="en-US" w:eastAsia="zh-CN"/>
        </w:rPr>
        <w:t>10</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15</w:t>
      </w:r>
      <w:r>
        <w:rPr>
          <w:rFonts w:hint="eastAsia" w:ascii="仿宋" w:hAnsi="仿宋" w:eastAsia="仿宋" w:cs="宋体"/>
          <w:sz w:val="24"/>
          <w:szCs w:val="28"/>
        </w:rPr>
        <w:t>:00</w:t>
      </w:r>
      <w:r>
        <w:rPr>
          <w:rFonts w:ascii="仿宋" w:hAnsi="仿宋" w:eastAsia="仿宋" w:cs="宋体"/>
          <w:sz w:val="24"/>
          <w:szCs w:val="28"/>
        </w:rPr>
        <w:t>；</w:t>
      </w:r>
    </w:p>
    <w:p w14:paraId="35CC6016">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9</w:t>
      </w:r>
      <w:r>
        <w:rPr>
          <w:rFonts w:ascii="仿宋" w:hAnsi="仿宋" w:eastAsia="仿宋" w:cs="宋体"/>
          <w:sz w:val="24"/>
          <w:szCs w:val="28"/>
        </w:rPr>
        <w:t>月</w:t>
      </w:r>
      <w:r>
        <w:rPr>
          <w:rFonts w:hint="eastAsia" w:ascii="仿宋" w:hAnsi="仿宋" w:eastAsia="仿宋" w:cs="宋体"/>
          <w:sz w:val="24"/>
          <w:szCs w:val="28"/>
          <w:lang w:val="en-US" w:eastAsia="zh-CN"/>
        </w:rPr>
        <w:t>10</w:t>
      </w:r>
      <w:r>
        <w:rPr>
          <w:rFonts w:ascii="仿宋" w:hAnsi="仿宋" w:eastAsia="仿宋" w:cs="宋体"/>
          <w:sz w:val="24"/>
          <w:szCs w:val="28"/>
        </w:rPr>
        <w:t>日</w:t>
      </w:r>
      <w:r>
        <w:rPr>
          <w:rFonts w:hint="eastAsia" w:ascii="仿宋" w:hAnsi="仿宋" w:eastAsia="仿宋" w:cs="宋体"/>
          <w:sz w:val="24"/>
          <w:szCs w:val="28"/>
          <w:lang w:val="en-US" w:eastAsia="zh-CN"/>
        </w:rPr>
        <w:t>下午15</w:t>
      </w:r>
      <w:r>
        <w:rPr>
          <w:rFonts w:hint="eastAsia" w:ascii="仿宋" w:hAnsi="仿宋" w:eastAsia="仿宋" w:cs="宋体"/>
          <w:sz w:val="24"/>
          <w:szCs w:val="28"/>
        </w:rPr>
        <w:t>:30</w:t>
      </w:r>
      <w:r>
        <w:rPr>
          <w:rFonts w:ascii="仿宋" w:hAnsi="仿宋" w:eastAsia="仿宋" w:cs="宋体"/>
          <w:sz w:val="24"/>
          <w:szCs w:val="28"/>
        </w:rPr>
        <w:t>；</w:t>
      </w:r>
    </w:p>
    <w:p w14:paraId="3D3AEBF8">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4楼会议室</w:t>
      </w:r>
      <w:r>
        <w:rPr>
          <w:rFonts w:ascii="仿宋" w:hAnsi="仿宋" w:eastAsia="仿宋" w:cs="宋体"/>
          <w:sz w:val="24"/>
          <w:szCs w:val="28"/>
        </w:rPr>
        <w:t>（南京市</w:t>
      </w:r>
      <w:r>
        <w:rPr>
          <w:rFonts w:hint="eastAsia" w:ascii="仿宋" w:hAnsi="仿宋" w:eastAsia="仿宋" w:cs="宋体"/>
          <w:sz w:val="24"/>
          <w:szCs w:val="28"/>
          <w:lang w:val="en-US" w:eastAsia="zh-CN"/>
        </w:rPr>
        <w:t>紫竹林2</w:t>
      </w:r>
      <w:r>
        <w:rPr>
          <w:rFonts w:hint="eastAsia" w:ascii="仿宋" w:hAnsi="仿宋" w:eastAsia="仿宋" w:cs="宋体"/>
          <w:sz w:val="24"/>
          <w:szCs w:val="28"/>
        </w:rPr>
        <w:t>号</w:t>
      </w:r>
      <w:r>
        <w:rPr>
          <w:rFonts w:ascii="仿宋" w:hAnsi="仿宋" w:eastAsia="仿宋" w:cs="宋体"/>
          <w:sz w:val="24"/>
          <w:szCs w:val="28"/>
        </w:rPr>
        <w:t>）</w:t>
      </w:r>
    </w:p>
    <w:p w14:paraId="14FF5824">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bookmarkStart w:id="39" w:name="_GoBack"/>
      <w:bookmarkEnd w:id="39"/>
    </w:p>
    <w:p w14:paraId="22E51EA4">
      <w:pPr>
        <w:pStyle w:val="3"/>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4AD550F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748F25CF">
      <w:pPr>
        <w:pStyle w:val="3"/>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14:paraId="32AA647F">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DDE1E00">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5D31B2E0">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14:paraId="56A82326">
      <w:pPr>
        <w:pStyle w:val="3"/>
        <w:spacing w:line="360" w:lineRule="auto"/>
        <w:rPr>
          <w:rFonts w:ascii="黑体" w:hAnsi="黑体" w:cs="宋体"/>
          <w:b w:val="0"/>
          <w:sz w:val="24"/>
          <w:szCs w:val="28"/>
        </w:rPr>
      </w:pPr>
      <w:bookmarkStart w:id="25" w:name="_Toc28359008"/>
      <w:bookmarkStart w:id="26" w:name="_Toc35393796"/>
      <w:bookmarkStart w:id="27" w:name="_Toc28359085"/>
      <w:bookmarkStart w:id="28" w:name="_Toc35393627"/>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0B59589A">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 xml:space="preserve">工 </w:t>
      </w:r>
      <w:r>
        <w:rPr>
          <w:rFonts w:hint="eastAsia" w:ascii="仿宋" w:hAnsi="仿宋" w:eastAsia="仿宋"/>
          <w:sz w:val="24"/>
          <w:szCs w:val="28"/>
        </w:rPr>
        <w:t xml:space="preserve">    联系方式：</w:t>
      </w:r>
      <w:r>
        <w:rPr>
          <w:rFonts w:hint="eastAsia" w:ascii="仿宋" w:hAnsi="仿宋" w:eastAsia="仿宋"/>
          <w:sz w:val="24"/>
          <w:szCs w:val="28"/>
          <w:u w:val="single"/>
        </w:rPr>
        <w:t xml:space="preserve">83538375 </w:t>
      </w:r>
      <w:bookmarkStart w:id="29" w:name="_Toc28359086"/>
      <w:bookmarkStart w:id="30" w:name="_Toc28359009"/>
    </w:p>
    <w:p w14:paraId="7DA8BFB8">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14:paraId="4DCFE363">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3B533C62">
      <w:pPr>
        <w:widowControl/>
        <w:jc w:val="left"/>
        <w:rPr>
          <w:rFonts w:ascii="仿宋_GB2312" w:eastAsia="仿宋_GB2312"/>
          <w:sz w:val="24"/>
          <w:szCs w:val="28"/>
        </w:rPr>
      </w:pPr>
    </w:p>
    <w:p w14:paraId="03405944">
      <w:pPr>
        <w:widowControl/>
        <w:jc w:val="left"/>
        <w:rPr>
          <w:rFonts w:ascii="仿宋_GB2312" w:eastAsia="仿宋_GB2312"/>
          <w:sz w:val="24"/>
          <w:szCs w:val="28"/>
        </w:rPr>
      </w:pPr>
    </w:p>
    <w:p w14:paraId="56AD3B20">
      <w:pPr>
        <w:widowControl/>
        <w:jc w:val="left"/>
        <w:rPr>
          <w:rFonts w:ascii="仿宋_GB2312" w:eastAsia="仿宋_GB2312"/>
          <w:sz w:val="24"/>
          <w:szCs w:val="28"/>
        </w:rPr>
      </w:pPr>
    </w:p>
    <w:p w14:paraId="4EC22806">
      <w:pPr>
        <w:widowControl/>
        <w:jc w:val="left"/>
        <w:rPr>
          <w:rFonts w:ascii="仿宋" w:hAnsi="仿宋" w:eastAsia="仿宋"/>
          <w:sz w:val="24"/>
          <w:szCs w:val="28"/>
        </w:rPr>
      </w:pPr>
    </w:p>
    <w:p w14:paraId="09864028">
      <w:pPr>
        <w:pStyle w:val="2"/>
        <w:widowControl/>
        <w:tabs>
          <w:tab w:val="left" w:pos="0"/>
          <w:tab w:val="left" w:pos="3165"/>
          <w:tab w:val="center" w:pos="4153"/>
        </w:tabs>
        <w:autoSpaceDE w:val="0"/>
        <w:autoSpaceDN w:val="0"/>
        <w:adjustRightInd w:val="0"/>
        <w:spacing w:before="0" w:after="0" w:line="360" w:lineRule="auto"/>
        <w:jc w:val="center"/>
        <w:rPr>
          <w:rFonts w:ascii="仿宋" w:hAnsi="仿宋" w:eastAsia="仿宋" w:cs="宋体"/>
          <w:kern w:val="0"/>
          <w:sz w:val="24"/>
          <w:szCs w:val="28"/>
        </w:rPr>
      </w:pPr>
      <w:r>
        <w:rPr>
          <w:rFonts w:hint="eastAsia" w:ascii="华文中宋" w:hAnsi="华文中宋" w:eastAsia="华文中宋"/>
          <w:sz w:val="32"/>
        </w:rPr>
        <w:t>第二章    评审办法</w:t>
      </w:r>
    </w:p>
    <w:p w14:paraId="7E57E710">
      <w:pPr>
        <w:spacing w:before="156" w:beforeLines="50" w:after="156" w:afterLines="50" w:line="360" w:lineRule="auto"/>
        <w:rPr>
          <w:u w:val="single"/>
        </w:rPr>
      </w:pPr>
      <w:r>
        <w:rPr>
          <w:rFonts w:hint="eastAsia"/>
          <w:u w:val="single"/>
        </w:rPr>
        <w:t>1.评分标准附表</w:t>
      </w:r>
    </w:p>
    <w:tbl>
      <w:tblPr>
        <w:tblStyle w:val="2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50"/>
        <w:gridCol w:w="7227"/>
      </w:tblGrid>
      <w:tr w14:paraId="1F8A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D485B49">
            <w:pPr>
              <w:widowControl/>
              <w:contextualSpacing/>
              <w:jc w:val="center"/>
              <w:rPr>
                <w:rFonts w:ascii="宋体" w:hAnsi="宋体" w:cs="宋体"/>
                <w:kern w:val="0"/>
                <w:highlight w:val="none"/>
              </w:rPr>
            </w:pPr>
            <w:r>
              <w:rPr>
                <w:rFonts w:hint="eastAsia" w:ascii="宋体" w:hAnsi="宋体" w:cs="宋体"/>
                <w:kern w:val="0"/>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BE2A669">
            <w:pPr>
              <w:widowControl/>
              <w:contextualSpacing/>
              <w:jc w:val="center"/>
              <w:rPr>
                <w:rFonts w:ascii="宋体" w:hAnsi="宋体" w:cs="宋体"/>
                <w:kern w:val="0"/>
                <w:highlight w:val="none"/>
              </w:rPr>
            </w:pPr>
            <w:r>
              <w:rPr>
                <w:rFonts w:hint="eastAsia" w:ascii="宋体" w:hAnsi="宋体" w:cs="宋体"/>
                <w:kern w:val="0"/>
                <w:highlight w:val="none"/>
              </w:rPr>
              <w:t>评审因素</w:t>
            </w:r>
          </w:p>
        </w:tc>
        <w:tc>
          <w:tcPr>
            <w:tcW w:w="750" w:type="dxa"/>
            <w:tcBorders>
              <w:top w:val="single" w:color="auto" w:sz="4" w:space="0"/>
              <w:left w:val="single" w:color="auto" w:sz="4" w:space="0"/>
              <w:bottom w:val="single" w:color="auto" w:sz="4" w:space="0"/>
              <w:right w:val="single" w:color="auto" w:sz="4" w:space="0"/>
            </w:tcBorders>
            <w:vAlign w:val="center"/>
          </w:tcPr>
          <w:p w14:paraId="3116C809">
            <w:pPr>
              <w:widowControl/>
              <w:contextualSpacing/>
              <w:jc w:val="center"/>
              <w:rPr>
                <w:rFonts w:ascii="宋体" w:hAnsi="宋体" w:cs="宋体"/>
                <w:kern w:val="0"/>
                <w:highlight w:val="none"/>
              </w:rPr>
            </w:pPr>
            <w:r>
              <w:rPr>
                <w:rFonts w:hint="eastAsia" w:ascii="宋体" w:hAnsi="宋体" w:cs="宋体"/>
                <w:kern w:val="0"/>
                <w:highlight w:val="none"/>
              </w:rPr>
              <w:t>分数</w:t>
            </w:r>
          </w:p>
        </w:tc>
        <w:tc>
          <w:tcPr>
            <w:tcW w:w="7227" w:type="dxa"/>
            <w:tcBorders>
              <w:top w:val="single" w:color="auto" w:sz="4" w:space="0"/>
              <w:left w:val="single" w:color="auto" w:sz="4" w:space="0"/>
              <w:bottom w:val="single" w:color="auto" w:sz="4" w:space="0"/>
              <w:right w:val="single" w:color="auto" w:sz="4" w:space="0"/>
            </w:tcBorders>
            <w:vAlign w:val="center"/>
          </w:tcPr>
          <w:p w14:paraId="5204DC75">
            <w:pPr>
              <w:widowControl/>
              <w:contextualSpacing/>
              <w:jc w:val="center"/>
              <w:rPr>
                <w:rFonts w:ascii="宋体" w:hAnsi="宋体" w:cs="宋体"/>
                <w:kern w:val="0"/>
                <w:highlight w:val="none"/>
              </w:rPr>
            </w:pPr>
            <w:r>
              <w:rPr>
                <w:rFonts w:hint="eastAsia" w:ascii="宋体" w:hAnsi="宋体" w:cs="宋体"/>
                <w:kern w:val="0"/>
                <w:highlight w:val="none"/>
              </w:rPr>
              <w:t>评分标准</w:t>
            </w:r>
          </w:p>
        </w:tc>
      </w:tr>
      <w:tr w14:paraId="6D54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83FB3E5">
            <w:pPr>
              <w:widowControl/>
              <w:contextualSpacing/>
              <w:jc w:val="center"/>
              <w:rPr>
                <w:rFonts w:ascii="宋体" w:hAnsi="宋体" w:cs="宋体"/>
                <w:kern w:val="0"/>
                <w:highlight w:val="none"/>
              </w:rPr>
            </w:pPr>
            <w:r>
              <w:rPr>
                <w:rFonts w:hint="eastAsia" w:ascii="宋体" w:hAnsi="宋体" w:cs="宋体"/>
                <w:kern w:val="0"/>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5EE506CC">
            <w:pPr>
              <w:pStyle w:val="7"/>
              <w:contextualSpacing/>
              <w:jc w:val="center"/>
              <w:rPr>
                <w:rFonts w:ascii="宋体" w:hAnsi="宋体" w:cs="宋体"/>
                <w:sz w:val="21"/>
                <w:highlight w:val="none"/>
              </w:rPr>
            </w:pPr>
            <w:r>
              <w:rPr>
                <w:rFonts w:hint="eastAsia" w:ascii="宋体" w:hAnsi="宋体" w:cs="宋体"/>
                <w:sz w:val="21"/>
                <w:highlight w:val="none"/>
              </w:rPr>
              <w:t>价格</w:t>
            </w:r>
          </w:p>
        </w:tc>
        <w:tc>
          <w:tcPr>
            <w:tcW w:w="750" w:type="dxa"/>
            <w:tcBorders>
              <w:top w:val="single" w:color="auto" w:sz="4" w:space="0"/>
              <w:left w:val="single" w:color="auto" w:sz="4" w:space="0"/>
              <w:bottom w:val="single" w:color="auto" w:sz="4" w:space="0"/>
              <w:right w:val="single" w:color="auto" w:sz="4" w:space="0"/>
            </w:tcBorders>
            <w:vAlign w:val="center"/>
          </w:tcPr>
          <w:p w14:paraId="13429934">
            <w:pPr>
              <w:widowControl/>
              <w:contextualSpacing/>
              <w:jc w:val="center"/>
              <w:rPr>
                <w:rFonts w:ascii="宋体" w:hAnsi="宋体" w:cs="宋体"/>
                <w:kern w:val="0"/>
                <w:highlight w:val="none"/>
              </w:rPr>
            </w:pPr>
            <w:r>
              <w:rPr>
                <w:rFonts w:hint="eastAsia" w:ascii="宋体" w:hAnsi="宋体" w:cs="宋体"/>
                <w:highlight w:val="none"/>
              </w:rPr>
              <w:t>10分</w:t>
            </w:r>
          </w:p>
        </w:tc>
        <w:tc>
          <w:tcPr>
            <w:tcW w:w="7227" w:type="dxa"/>
            <w:tcBorders>
              <w:top w:val="single" w:color="auto" w:sz="4" w:space="0"/>
              <w:left w:val="single" w:color="auto" w:sz="4" w:space="0"/>
              <w:bottom w:val="single" w:color="auto" w:sz="4" w:space="0"/>
              <w:right w:val="single" w:color="auto" w:sz="4" w:space="0"/>
            </w:tcBorders>
            <w:vAlign w:val="center"/>
          </w:tcPr>
          <w:p w14:paraId="7CFC123D">
            <w:pPr>
              <w:contextualSpacing/>
              <w:rPr>
                <w:rFonts w:ascii="宋体" w:hAnsi="宋体" w:cs="宋体"/>
                <w:highlight w:val="none"/>
              </w:rPr>
            </w:pPr>
            <w:r>
              <w:rPr>
                <w:rFonts w:hint="eastAsia" w:asciiTheme="minorEastAsia" w:hAnsiTheme="minorEastAsia" w:eastAsiaTheme="minorEastAsia" w:cstheme="minorEastAsia"/>
                <w:highlight w:val="none"/>
              </w:rPr>
              <w:t>采用低价优先法计算：以满足招标文件要求且投标价格最低的投标报价为评标基准价，其价格满分10分，其他投标人的价格分按照下列公式计算：报价得分=（评标基准价/投标报价）×10。当投标报价高于本次项目预算价的，则投标报价无效。分值保留小数点后2位。</w:t>
            </w:r>
          </w:p>
        </w:tc>
      </w:tr>
      <w:tr w14:paraId="1DEA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50DF364">
            <w:pPr>
              <w:widowControl/>
              <w:contextualSpacing/>
              <w:jc w:val="center"/>
              <w:rPr>
                <w:rFonts w:ascii="宋体" w:hAnsi="宋体" w:cs="宋体"/>
                <w:kern w:val="0"/>
                <w:highlight w:val="none"/>
              </w:rPr>
            </w:pPr>
            <w:r>
              <w:rPr>
                <w:rFonts w:hint="eastAsia" w:ascii="宋体" w:hAnsi="宋体" w:cs="宋体"/>
                <w:kern w:val="0"/>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633F3957">
            <w:pPr>
              <w:pStyle w:val="7"/>
              <w:contextualSpacing/>
              <w:jc w:val="center"/>
              <w:rPr>
                <w:rFonts w:ascii="宋体" w:hAnsi="宋体" w:cs="宋体"/>
                <w:sz w:val="21"/>
                <w:highlight w:val="none"/>
              </w:rPr>
            </w:pPr>
            <w:r>
              <w:rPr>
                <w:rFonts w:hint="eastAsia" w:ascii="宋体" w:hAnsi="宋体" w:cs="宋体"/>
                <w:sz w:val="21"/>
                <w:highlight w:val="none"/>
              </w:rPr>
              <w:t>渗透测试方案</w:t>
            </w:r>
          </w:p>
        </w:tc>
        <w:tc>
          <w:tcPr>
            <w:tcW w:w="750" w:type="dxa"/>
            <w:tcBorders>
              <w:top w:val="single" w:color="auto" w:sz="4" w:space="0"/>
              <w:left w:val="single" w:color="auto" w:sz="4" w:space="0"/>
              <w:bottom w:val="single" w:color="auto" w:sz="4" w:space="0"/>
              <w:right w:val="single" w:color="auto" w:sz="4" w:space="0"/>
            </w:tcBorders>
            <w:vAlign w:val="center"/>
          </w:tcPr>
          <w:p w14:paraId="0B879BAC">
            <w:pPr>
              <w:widowControl/>
              <w:contextualSpacing/>
              <w:jc w:val="center"/>
              <w:rPr>
                <w:rFonts w:ascii="宋体" w:hAnsi="宋体" w:cs="宋体"/>
                <w:highlight w:val="none"/>
              </w:rPr>
            </w:pPr>
            <w:r>
              <w:rPr>
                <w:rFonts w:hint="eastAsia" w:ascii="宋体" w:hAnsi="宋体" w:cs="宋体"/>
                <w:highlight w:val="none"/>
              </w:rPr>
              <w:t>10</w:t>
            </w:r>
          </w:p>
        </w:tc>
        <w:tc>
          <w:tcPr>
            <w:tcW w:w="7227" w:type="dxa"/>
            <w:tcBorders>
              <w:top w:val="single" w:color="auto" w:sz="4" w:space="0"/>
              <w:left w:val="single" w:color="auto" w:sz="4" w:space="0"/>
              <w:bottom w:val="single" w:color="auto" w:sz="4" w:space="0"/>
              <w:right w:val="single" w:color="auto" w:sz="4" w:space="0"/>
            </w:tcBorders>
            <w:vAlign w:val="center"/>
          </w:tcPr>
          <w:p w14:paraId="6C6BB986">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方案需明确：</w:t>
            </w:r>
            <w:r>
              <w:rPr>
                <w:rFonts w:hint="eastAsia" w:ascii="宋体" w:hAnsi="宋体"/>
                <w:color w:val="000000" w:themeColor="text1"/>
                <w:highlight w:val="none"/>
                <w14:textFill>
                  <w14:solidFill>
                    <w14:schemeClr w14:val="tx1"/>
                  </w14:solidFill>
                </w14:textFill>
              </w:rPr>
              <w:t>每季度开展网站和重要信息系统等互联网资产渗透测试，及时发现存在的安全隐患和问题，对网站和重要信息系统等互联网资产自身安全情况进行等级化评估，分析当前现状和国家及行业安全标准要求之间的差距，提出渗透测试报告和整改加固建议。</w:t>
            </w:r>
          </w:p>
          <w:p w14:paraId="7BB931AD">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渗透测试方案科学合理，内容具体，可行性强，包含服务器信息收集、文件及目录测试、认证测试、会话管理测试、权限管理测试、文件上传下载测试、信息泄漏测试、跨站脚本攻击测试、逻辑测试，得</w:t>
            </w: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10分；</w:t>
            </w:r>
          </w:p>
          <w:p w14:paraId="0AB3BE8D">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方案较为科学合理，内容较为具体，可行性较强，包含部分服务器信息收集、文件及目录测试、认证测试、会话管理测试、权限管理测试、文件上传下载测试、信息泄漏测试、跨站脚本攻击测试、逻辑测试，得</w:t>
            </w:r>
            <w:r>
              <w:rPr>
                <w:rFonts w:hint="eastAsia" w:ascii="宋体" w:hAnsi="宋体"/>
                <w:color w:val="000000" w:themeColor="text1"/>
                <w:highlight w:val="none"/>
                <w:lang w:val="en-US" w:eastAsia="zh-CN"/>
                <w14:textFill>
                  <w14:solidFill>
                    <w14:schemeClr w14:val="tx1"/>
                  </w14:solidFill>
                </w14:textFill>
              </w:rPr>
              <w:t>5-7</w:t>
            </w:r>
            <w:r>
              <w:rPr>
                <w:rFonts w:hint="eastAsia" w:ascii="宋体" w:hAnsi="宋体"/>
                <w:color w:val="000000" w:themeColor="text1"/>
                <w:highlight w:val="none"/>
                <w14:textFill>
                  <w14:solidFill>
                    <w14:schemeClr w14:val="tx1"/>
                  </w14:solidFill>
                </w14:textFill>
              </w:rPr>
              <w:t>分；</w:t>
            </w:r>
          </w:p>
          <w:p w14:paraId="2CA1CEB6">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方案不够科学合理，内容欠缺，可行性较低，不包含服务器信息收集、文件及目录测试、认证测试、会话管理测试、权限管理测试、文件上传下载测试、信息泄漏测试、跨站脚本攻击测试、逻辑测试，得</w:t>
            </w:r>
            <w:r>
              <w:rPr>
                <w:rFonts w:hint="eastAsia" w:ascii="宋体" w:hAnsi="宋体"/>
                <w:color w:val="000000" w:themeColor="text1"/>
                <w:highlight w:val="none"/>
                <w:lang w:val="en-US" w:eastAsia="zh-CN"/>
                <w14:textFill>
                  <w14:solidFill>
                    <w14:schemeClr w14:val="tx1"/>
                  </w14:solidFill>
                </w14:textFill>
              </w:rPr>
              <w:t>2-4</w:t>
            </w:r>
            <w:r>
              <w:rPr>
                <w:rFonts w:hint="eastAsia" w:ascii="宋体" w:hAnsi="宋体"/>
                <w:color w:val="000000" w:themeColor="text1"/>
                <w:highlight w:val="none"/>
                <w14:textFill>
                  <w14:solidFill>
                    <w14:schemeClr w14:val="tx1"/>
                  </w14:solidFill>
                </w14:textFill>
              </w:rPr>
              <w:t>分；</w:t>
            </w:r>
          </w:p>
          <w:p w14:paraId="5683EB64">
            <w:pPr>
              <w:contextualSpacing/>
              <w:rPr>
                <w:rFonts w:ascii="宋体" w:hAnsi="宋体" w:cs="宋体"/>
                <w:highlight w:val="none"/>
              </w:rPr>
            </w:pPr>
            <w:r>
              <w:rPr>
                <w:rFonts w:hint="eastAsia" w:ascii="宋体" w:hAnsi="宋体"/>
                <w:color w:val="000000" w:themeColor="text1"/>
                <w:highlight w:val="none"/>
                <w14:textFill>
                  <w14:solidFill>
                    <w14:schemeClr w14:val="tx1"/>
                  </w14:solidFill>
                </w14:textFill>
              </w:rPr>
              <w:t>未提供渗透测试方案或方案与项目严重不符合，本项得0分。</w:t>
            </w:r>
          </w:p>
        </w:tc>
      </w:tr>
      <w:tr w14:paraId="1152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E0938A7">
            <w:pPr>
              <w:widowControl/>
              <w:contextualSpacing/>
              <w:jc w:val="center"/>
              <w:rPr>
                <w:rFonts w:ascii="宋体" w:hAnsi="宋体" w:cs="宋体"/>
                <w:kern w:val="0"/>
                <w:highlight w:val="none"/>
              </w:rPr>
            </w:pPr>
            <w:r>
              <w:rPr>
                <w:rFonts w:hint="eastAsia" w:ascii="宋体" w:hAnsi="宋体" w:cs="宋体"/>
                <w:kern w:val="0"/>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14:paraId="02CF44CD">
            <w:pPr>
              <w:pStyle w:val="7"/>
              <w:contextualSpacing/>
              <w:jc w:val="center"/>
              <w:rPr>
                <w:rFonts w:ascii="宋体" w:hAnsi="宋体" w:cs="宋体"/>
                <w:sz w:val="21"/>
                <w:highlight w:val="none"/>
              </w:rPr>
            </w:pPr>
            <w:r>
              <w:rPr>
                <w:rFonts w:hint="eastAsia" w:ascii="宋体" w:hAnsi="宋体" w:cs="宋体"/>
                <w:sz w:val="21"/>
                <w:highlight w:val="none"/>
              </w:rPr>
              <w:t>安全培训方案</w:t>
            </w:r>
          </w:p>
        </w:tc>
        <w:tc>
          <w:tcPr>
            <w:tcW w:w="750" w:type="dxa"/>
            <w:tcBorders>
              <w:top w:val="single" w:color="auto" w:sz="4" w:space="0"/>
              <w:left w:val="single" w:color="auto" w:sz="4" w:space="0"/>
              <w:bottom w:val="single" w:color="auto" w:sz="4" w:space="0"/>
              <w:right w:val="single" w:color="auto" w:sz="4" w:space="0"/>
            </w:tcBorders>
            <w:vAlign w:val="center"/>
          </w:tcPr>
          <w:p w14:paraId="648F0FB0">
            <w:pPr>
              <w:widowControl/>
              <w:contextualSpacing/>
              <w:jc w:val="center"/>
              <w:rPr>
                <w:rFonts w:ascii="宋体" w:hAnsi="宋体" w:cs="宋体"/>
                <w:highlight w:val="none"/>
              </w:rPr>
            </w:pPr>
            <w:r>
              <w:rPr>
                <w:rFonts w:hint="eastAsia" w:ascii="宋体" w:hAnsi="宋体" w:cs="宋体"/>
                <w:highlight w:val="none"/>
              </w:rPr>
              <w:t>10</w:t>
            </w:r>
          </w:p>
        </w:tc>
        <w:tc>
          <w:tcPr>
            <w:tcW w:w="7227" w:type="dxa"/>
            <w:tcBorders>
              <w:top w:val="single" w:color="auto" w:sz="4" w:space="0"/>
              <w:left w:val="single" w:color="auto" w:sz="4" w:space="0"/>
              <w:bottom w:val="single" w:color="auto" w:sz="4" w:space="0"/>
              <w:right w:val="single" w:color="auto" w:sz="4" w:space="0"/>
            </w:tcBorders>
            <w:vAlign w:val="center"/>
          </w:tcPr>
          <w:p w14:paraId="5F59BB03">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培训方案全面，包含全面的安全意识、信息化事故案例培训，主机安全、网络安全、安全事件应急处置、黑客攻防演示、安全理论与政策标准体系培训的，得</w:t>
            </w: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10分；</w:t>
            </w:r>
          </w:p>
          <w:p w14:paraId="10685E66">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培训方案较全面，包含基本安全意识、信息化事故案例培训，主机安全、网络安全、安全事件应急处置、黑客攻防演示、安全理论与政策标准体系培训的，得</w:t>
            </w:r>
            <w:r>
              <w:rPr>
                <w:rFonts w:hint="eastAsia" w:ascii="宋体" w:hAnsi="宋体"/>
                <w:color w:val="000000" w:themeColor="text1"/>
                <w:highlight w:val="none"/>
                <w:lang w:val="en-US" w:eastAsia="zh-CN"/>
                <w14:textFill>
                  <w14:solidFill>
                    <w14:schemeClr w14:val="tx1"/>
                  </w14:solidFill>
                </w14:textFill>
              </w:rPr>
              <w:t>5-7</w:t>
            </w:r>
            <w:r>
              <w:rPr>
                <w:rFonts w:hint="eastAsia" w:ascii="宋体" w:hAnsi="宋体"/>
                <w:color w:val="000000" w:themeColor="text1"/>
                <w:highlight w:val="none"/>
                <w14:textFill>
                  <w14:solidFill>
                    <w14:schemeClr w14:val="tx1"/>
                  </w14:solidFill>
                </w14:textFill>
              </w:rPr>
              <w:t>分；</w:t>
            </w:r>
          </w:p>
          <w:p w14:paraId="0EFA2FA5">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培训方案不全，不能全部包含安全意识、信息化事故案例培训，主机安全、网络安全、安全事件应急处置、黑客攻防演示、安全理论与政策标准体系培训的，得</w:t>
            </w:r>
            <w:r>
              <w:rPr>
                <w:rFonts w:hint="eastAsia" w:ascii="宋体" w:hAnsi="宋体"/>
                <w:color w:val="000000" w:themeColor="text1"/>
                <w:highlight w:val="none"/>
                <w:lang w:val="en-US" w:eastAsia="zh-CN"/>
                <w14:textFill>
                  <w14:solidFill>
                    <w14:schemeClr w14:val="tx1"/>
                  </w14:solidFill>
                </w14:textFill>
              </w:rPr>
              <w:t>2-4</w:t>
            </w:r>
            <w:r>
              <w:rPr>
                <w:rFonts w:hint="eastAsia" w:ascii="宋体" w:hAnsi="宋体"/>
                <w:color w:val="000000" w:themeColor="text1"/>
                <w:highlight w:val="none"/>
                <w14:textFill>
                  <w14:solidFill>
                    <w14:schemeClr w14:val="tx1"/>
                  </w14:solidFill>
                </w14:textFill>
              </w:rPr>
              <w:t>分；</w:t>
            </w:r>
          </w:p>
          <w:p w14:paraId="2F029673">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未提供培训方案或培训方案与项目严重不符的得0分。</w:t>
            </w:r>
          </w:p>
        </w:tc>
      </w:tr>
      <w:tr w14:paraId="2FDA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34CFBBE">
            <w:pPr>
              <w:widowControl/>
              <w:contextualSpacing/>
              <w:jc w:val="center"/>
              <w:rPr>
                <w:rFonts w:ascii="宋体" w:hAnsi="宋体" w:cs="宋体"/>
                <w:kern w:val="0"/>
                <w:highlight w:val="none"/>
              </w:rPr>
            </w:pPr>
            <w:r>
              <w:rPr>
                <w:rFonts w:hint="eastAsia" w:ascii="宋体" w:hAnsi="宋体" w:cs="宋体"/>
                <w:kern w:val="0"/>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14:paraId="5B62714D">
            <w:pPr>
              <w:widowControl/>
              <w:contextualSpacing/>
              <w:jc w:val="center"/>
              <w:rPr>
                <w:rFonts w:ascii="宋体" w:hAnsi="宋体" w:cs="宋体"/>
                <w:highlight w:val="none"/>
              </w:rPr>
            </w:pPr>
            <w:r>
              <w:rPr>
                <w:rFonts w:hint="eastAsia" w:ascii="宋体" w:hAnsi="宋体" w:cs="宋体"/>
                <w:highlight w:val="none"/>
              </w:rPr>
              <w:t>重大活动保障</w:t>
            </w:r>
          </w:p>
        </w:tc>
        <w:tc>
          <w:tcPr>
            <w:tcW w:w="750" w:type="dxa"/>
            <w:tcBorders>
              <w:top w:val="single" w:color="auto" w:sz="4" w:space="0"/>
              <w:left w:val="single" w:color="auto" w:sz="4" w:space="0"/>
              <w:bottom w:val="single" w:color="auto" w:sz="4" w:space="0"/>
              <w:right w:val="single" w:color="auto" w:sz="4" w:space="0"/>
            </w:tcBorders>
            <w:vAlign w:val="center"/>
          </w:tcPr>
          <w:p w14:paraId="6AA18989">
            <w:pPr>
              <w:widowControl/>
              <w:contextualSpacing/>
              <w:jc w:val="center"/>
              <w:rPr>
                <w:rFonts w:ascii="宋体" w:hAnsi="宋体" w:cs="宋体"/>
                <w:highlight w:val="none"/>
              </w:rPr>
            </w:pPr>
            <w:r>
              <w:rPr>
                <w:rFonts w:hint="eastAsia" w:ascii="宋体" w:hAnsi="宋体" w:cs="宋体"/>
                <w:highlight w:val="none"/>
              </w:rPr>
              <w:t>10分</w:t>
            </w:r>
          </w:p>
        </w:tc>
        <w:tc>
          <w:tcPr>
            <w:tcW w:w="7227" w:type="dxa"/>
            <w:tcBorders>
              <w:top w:val="single" w:color="auto" w:sz="4" w:space="0"/>
              <w:left w:val="single" w:color="auto" w:sz="4" w:space="0"/>
              <w:bottom w:val="single" w:color="auto" w:sz="4" w:space="0"/>
              <w:right w:val="single" w:color="auto" w:sz="4" w:space="0"/>
            </w:tcBorders>
            <w:vAlign w:val="center"/>
          </w:tcPr>
          <w:p w14:paraId="5226428E">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保障方案全面合理，具有以下内容：</w:t>
            </w:r>
            <w:r>
              <w:rPr>
                <w:rFonts w:ascii="宋体" w:hAnsi="宋体"/>
                <w:color w:val="000000" w:themeColor="text1"/>
                <w:highlight w:val="none"/>
                <w14:textFill>
                  <w14:solidFill>
                    <w14:schemeClr w14:val="tx1"/>
                  </w14:solidFill>
                </w14:textFill>
              </w:rPr>
              <w:t>从网 络层面、服务器层面、数据层面为 用户构建全方面的重要敏感时期 的安全保障服务。对网络和应用系 统提前进行风险评估服务，包括资产持续监测、风险异常告警、漏洞发现、可用性监测，并对发现的脆弱点进行安全风险评估</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8-10</w:t>
            </w:r>
            <w:r>
              <w:rPr>
                <w:rFonts w:hint="eastAsia" w:ascii="宋体" w:hAnsi="宋体"/>
                <w:color w:val="000000" w:themeColor="text1"/>
                <w:highlight w:val="none"/>
                <w14:textFill>
                  <w14:solidFill>
                    <w14:schemeClr w14:val="tx1"/>
                  </w14:solidFill>
                </w14:textFill>
              </w:rPr>
              <w:t>分；</w:t>
            </w:r>
          </w:p>
          <w:p w14:paraId="20D4301B">
            <w:pPr>
              <w:autoSpaceDE w:val="0"/>
              <w:autoSpaceDN w:val="0"/>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保障方案基本全面，具有以下部分内容：</w:t>
            </w:r>
            <w:r>
              <w:rPr>
                <w:rFonts w:ascii="宋体" w:hAnsi="宋体"/>
                <w:color w:val="000000" w:themeColor="text1"/>
                <w:highlight w:val="none"/>
                <w14:textFill>
                  <w14:solidFill>
                    <w14:schemeClr w14:val="tx1"/>
                  </w14:solidFill>
                </w14:textFill>
              </w:rPr>
              <w:t>从网 络层面、服务器层面、数据层面为 用户构建全方面的重要敏感时期 的安全保障服务。对网络和应用系 统提前进行风险评估服务，包括资产持续监测、风险异常告警、漏洞发现、可用性监测，并对发现的脆弱点进行安全风险评估</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5-7</w:t>
            </w:r>
            <w:r>
              <w:rPr>
                <w:rFonts w:hint="eastAsia" w:ascii="宋体" w:hAnsi="宋体"/>
                <w:color w:val="000000" w:themeColor="text1"/>
                <w:highlight w:val="none"/>
                <w14:textFill>
                  <w14:solidFill>
                    <w14:schemeClr w14:val="tx1"/>
                  </w14:solidFill>
                </w14:textFill>
              </w:rPr>
              <w:t>分；</w:t>
            </w:r>
          </w:p>
          <w:p w14:paraId="63441620">
            <w:pPr>
              <w:autoSpaceDE w:val="0"/>
              <w:autoSpaceDN w:val="0"/>
              <w:spacing w:line="360" w:lineRule="auto"/>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保障方案基本全面，</w:t>
            </w:r>
            <w:r>
              <w:rPr>
                <w:rFonts w:hint="eastAsia" w:ascii="宋体" w:hAnsi="宋体"/>
                <w:color w:val="000000" w:themeColor="text1"/>
                <w:highlight w:val="none"/>
                <w:lang w:val="en-US" w:eastAsia="zh-CN"/>
                <w14:textFill>
                  <w14:solidFill>
                    <w14:schemeClr w14:val="tx1"/>
                  </w14:solidFill>
                </w14:textFill>
              </w:rPr>
              <w:t>包括相关内容存在缺陷，</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2-4</w:t>
            </w:r>
            <w:r>
              <w:rPr>
                <w:rFonts w:hint="eastAsia" w:ascii="宋体" w:hAnsi="宋体"/>
                <w:color w:val="000000" w:themeColor="text1"/>
                <w:highlight w:val="none"/>
                <w14:textFill>
                  <w14:solidFill>
                    <w14:schemeClr w14:val="tx1"/>
                  </w14:solidFill>
                </w14:textFill>
              </w:rPr>
              <w:t>分；</w:t>
            </w:r>
          </w:p>
          <w:p w14:paraId="07465294">
            <w:pPr>
              <w:autoSpaceDE w:val="0"/>
              <w:autoSpaceDN w:val="0"/>
              <w:spacing w:line="360" w:lineRule="auto"/>
              <w:rPr>
                <w:rFonts w:ascii="宋体" w:hAnsi="宋体"/>
                <w:highlight w:val="none"/>
              </w:rPr>
            </w:pPr>
            <w:r>
              <w:rPr>
                <w:rFonts w:hint="eastAsia" w:ascii="宋体" w:hAnsi="宋体"/>
                <w:color w:val="000000" w:themeColor="text1"/>
                <w:highlight w:val="none"/>
                <w14:textFill>
                  <w14:solidFill>
                    <w14:schemeClr w14:val="tx1"/>
                  </w14:solidFill>
                </w14:textFill>
              </w:rPr>
              <w:t>保障方案片面，不具有可行性，服务内容不详细或者未提供，得0分；</w:t>
            </w:r>
          </w:p>
        </w:tc>
      </w:tr>
      <w:tr w14:paraId="642C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1BC8593">
            <w:pPr>
              <w:widowControl/>
              <w:contextualSpacing/>
              <w:jc w:val="center"/>
              <w:rPr>
                <w:rFonts w:ascii="宋体" w:hAnsi="宋体" w:cs="宋体"/>
                <w:kern w:val="0"/>
                <w:highlight w:val="none"/>
              </w:rPr>
            </w:pPr>
            <w:r>
              <w:rPr>
                <w:rFonts w:hint="eastAsia" w:ascii="宋体" w:hAnsi="宋体" w:cs="宋体"/>
                <w:kern w:val="0"/>
                <w:highlight w:val="none"/>
              </w:rPr>
              <w:t>5</w:t>
            </w:r>
          </w:p>
        </w:tc>
        <w:tc>
          <w:tcPr>
            <w:tcW w:w="1134" w:type="dxa"/>
            <w:tcBorders>
              <w:top w:val="single" w:color="auto" w:sz="4" w:space="0"/>
              <w:left w:val="single" w:color="auto" w:sz="4" w:space="0"/>
              <w:bottom w:val="single" w:color="auto" w:sz="4" w:space="0"/>
              <w:right w:val="single" w:color="auto" w:sz="4" w:space="0"/>
            </w:tcBorders>
            <w:vAlign w:val="center"/>
          </w:tcPr>
          <w:p w14:paraId="285D219C">
            <w:pPr>
              <w:widowControl/>
              <w:contextualSpacing/>
              <w:jc w:val="center"/>
              <w:rPr>
                <w:rFonts w:ascii="宋体" w:hAnsi="宋体" w:cs="宋体"/>
                <w:highlight w:val="none"/>
              </w:rPr>
            </w:pPr>
            <w:r>
              <w:rPr>
                <w:rFonts w:hint="eastAsia" w:ascii="宋体" w:hAnsi="宋体" w:cs="宋体"/>
                <w:highlight w:val="none"/>
              </w:rPr>
              <w:t>风险评估</w:t>
            </w:r>
          </w:p>
        </w:tc>
        <w:tc>
          <w:tcPr>
            <w:tcW w:w="750" w:type="dxa"/>
            <w:tcBorders>
              <w:top w:val="single" w:color="auto" w:sz="4" w:space="0"/>
              <w:left w:val="single" w:color="auto" w:sz="4" w:space="0"/>
              <w:bottom w:val="single" w:color="auto" w:sz="4" w:space="0"/>
              <w:right w:val="single" w:color="auto" w:sz="4" w:space="0"/>
            </w:tcBorders>
            <w:vAlign w:val="center"/>
          </w:tcPr>
          <w:p w14:paraId="17DF22E9">
            <w:pPr>
              <w:widowControl/>
              <w:contextualSpacing/>
              <w:jc w:val="center"/>
              <w:rPr>
                <w:rFonts w:ascii="宋体" w:hAnsi="宋体" w:cs="宋体"/>
                <w:highlight w:val="none"/>
              </w:rPr>
            </w:pPr>
            <w:r>
              <w:rPr>
                <w:rFonts w:hint="eastAsia" w:ascii="宋体" w:hAnsi="宋体" w:cs="宋体"/>
                <w:highlight w:val="none"/>
              </w:rPr>
              <w:t>10</w:t>
            </w:r>
          </w:p>
        </w:tc>
        <w:tc>
          <w:tcPr>
            <w:tcW w:w="7227" w:type="dxa"/>
            <w:tcBorders>
              <w:top w:val="single" w:color="auto" w:sz="4" w:space="0"/>
              <w:left w:val="single" w:color="auto" w:sz="4" w:space="0"/>
              <w:bottom w:val="single" w:color="auto" w:sz="4" w:space="0"/>
              <w:right w:val="single" w:color="auto" w:sz="4" w:space="0"/>
            </w:tcBorders>
            <w:vAlign w:val="center"/>
          </w:tcPr>
          <w:p w14:paraId="0781CBE2">
            <w:pPr>
              <w:autoSpaceDE w:val="0"/>
              <w:autoSpaceDN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总体风险评估方案全面，具有合理的服务体系、组织架构，具有明确的进度控制、风险控制管理、质量保障措施、信息安全管理措施、文档管理措施，</w:t>
            </w:r>
            <w:r>
              <w:rPr>
                <w:rFonts w:hint="eastAsia" w:ascii="宋体" w:hAnsi="宋体"/>
                <w:color w:val="000000" w:themeColor="text1"/>
                <w:highlight w:val="none"/>
                <w:lang w:val="en-US" w:eastAsia="zh-CN"/>
                <w14:textFill>
                  <w14:solidFill>
                    <w14:schemeClr w14:val="tx1"/>
                  </w14:solidFill>
                </w14:textFill>
              </w:rPr>
              <w:t>8-10</w:t>
            </w:r>
            <w:r>
              <w:rPr>
                <w:rFonts w:hint="eastAsia" w:ascii="宋体" w:hAnsi="宋体"/>
                <w:color w:val="000000" w:themeColor="text1"/>
                <w:highlight w:val="none"/>
                <w14:textFill>
                  <w14:solidFill>
                    <w14:schemeClr w14:val="tx1"/>
                  </w14:solidFill>
                </w14:textFill>
              </w:rPr>
              <w:t>分；</w:t>
            </w:r>
          </w:p>
          <w:p w14:paraId="1977480A">
            <w:pPr>
              <w:autoSpaceDE w:val="0"/>
              <w:autoSpaceDN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总体风险评估方案不够全面，服务体系、组织架构不够合理，进度控制、风险控制管理、质量保障措施、信息安全管理措施、文档管理措施不全，得</w:t>
            </w:r>
            <w:r>
              <w:rPr>
                <w:rFonts w:hint="eastAsia" w:ascii="宋体" w:hAnsi="宋体"/>
                <w:color w:val="000000" w:themeColor="text1"/>
                <w:highlight w:val="none"/>
                <w:lang w:val="en-US" w:eastAsia="zh-CN"/>
                <w14:textFill>
                  <w14:solidFill>
                    <w14:schemeClr w14:val="tx1"/>
                  </w14:solidFill>
                </w14:textFill>
              </w:rPr>
              <w:t>4-7</w:t>
            </w:r>
            <w:r>
              <w:rPr>
                <w:rFonts w:hint="eastAsia" w:ascii="宋体" w:hAnsi="宋体"/>
                <w:color w:val="000000" w:themeColor="text1"/>
                <w:highlight w:val="none"/>
                <w14:textFill>
                  <w14:solidFill>
                    <w14:schemeClr w14:val="tx1"/>
                  </w14:solidFill>
                </w14:textFill>
              </w:rPr>
              <w:t>分；</w:t>
            </w:r>
          </w:p>
          <w:p w14:paraId="10135E2F">
            <w:pPr>
              <w:autoSpaceDE w:val="0"/>
              <w:autoSpaceDN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风险评估实施方案一般，服务体系、组织架构不合理，进度控制、风险控制管理、质量保障措施、信息安全管理措施、文档管理措施部分缺漏，得</w:t>
            </w:r>
            <w:r>
              <w:rPr>
                <w:rFonts w:hint="eastAsia" w:ascii="宋体" w:hAnsi="宋体"/>
                <w:color w:val="000000" w:themeColor="text1"/>
                <w:highlight w:val="none"/>
                <w:lang w:val="en-US" w:eastAsia="zh-CN"/>
                <w14:textFill>
                  <w14:solidFill>
                    <w14:schemeClr w14:val="tx1"/>
                  </w14:solidFill>
                </w14:textFill>
              </w:rPr>
              <w:t>2-4</w:t>
            </w:r>
            <w:r>
              <w:rPr>
                <w:rFonts w:hint="eastAsia" w:ascii="宋体" w:hAnsi="宋体"/>
                <w:color w:val="000000" w:themeColor="text1"/>
                <w:highlight w:val="none"/>
                <w14:textFill>
                  <w14:solidFill>
                    <w14:schemeClr w14:val="tx1"/>
                  </w14:solidFill>
                </w14:textFill>
              </w:rPr>
              <w:t>分；</w:t>
            </w:r>
          </w:p>
          <w:p w14:paraId="664AF1D3">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总体风险评估方案与项目严重不符或未提供，本项得0分。</w:t>
            </w:r>
          </w:p>
        </w:tc>
      </w:tr>
      <w:tr w14:paraId="5A00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74DC64B1">
            <w:pPr>
              <w:widowControl/>
              <w:contextualSpacing/>
              <w:jc w:val="center"/>
              <w:rPr>
                <w:rFonts w:ascii="宋体" w:hAnsi="宋体" w:cs="宋体"/>
                <w:kern w:val="0"/>
                <w:highlight w:val="none"/>
              </w:rPr>
            </w:pPr>
            <w:r>
              <w:rPr>
                <w:rFonts w:hint="eastAsia" w:ascii="宋体" w:hAnsi="宋体" w:cs="宋体"/>
                <w:kern w:val="0"/>
                <w:highlight w:val="none"/>
              </w:rPr>
              <w:t>5</w:t>
            </w:r>
          </w:p>
        </w:tc>
        <w:tc>
          <w:tcPr>
            <w:tcW w:w="1134" w:type="dxa"/>
            <w:tcBorders>
              <w:left w:val="single" w:color="auto" w:sz="4" w:space="0"/>
              <w:right w:val="single" w:color="auto" w:sz="4" w:space="0"/>
            </w:tcBorders>
            <w:vAlign w:val="center"/>
          </w:tcPr>
          <w:p w14:paraId="460FBF87">
            <w:pPr>
              <w:widowControl/>
              <w:contextualSpacing/>
              <w:jc w:val="center"/>
              <w:rPr>
                <w:rFonts w:ascii="宋体" w:hAnsi="宋体" w:cs="宋体"/>
                <w:highlight w:val="none"/>
              </w:rPr>
            </w:pPr>
            <w:r>
              <w:rPr>
                <w:rFonts w:hint="eastAsia" w:ascii="宋体" w:hAnsi="宋体" w:cs="宋体"/>
                <w:highlight w:val="none"/>
              </w:rPr>
              <w:t>售后服务方案</w:t>
            </w:r>
          </w:p>
        </w:tc>
        <w:tc>
          <w:tcPr>
            <w:tcW w:w="750" w:type="dxa"/>
            <w:tcBorders>
              <w:left w:val="single" w:color="auto" w:sz="4" w:space="0"/>
              <w:bottom w:val="single" w:color="auto" w:sz="4" w:space="0"/>
              <w:right w:val="single" w:color="auto" w:sz="4" w:space="0"/>
            </w:tcBorders>
            <w:vAlign w:val="center"/>
          </w:tcPr>
          <w:p w14:paraId="6533872A">
            <w:pPr>
              <w:widowControl/>
              <w:contextualSpacing/>
              <w:jc w:val="center"/>
              <w:rPr>
                <w:rFonts w:ascii="宋体" w:hAnsi="宋体" w:cs="宋体"/>
                <w:highlight w:val="none"/>
              </w:rPr>
            </w:pPr>
            <w:r>
              <w:rPr>
                <w:rFonts w:hint="eastAsia" w:ascii="宋体" w:hAnsi="宋体" w:cs="宋体"/>
                <w:highlight w:val="none"/>
              </w:rPr>
              <w:t>10分</w:t>
            </w:r>
          </w:p>
        </w:tc>
        <w:tc>
          <w:tcPr>
            <w:tcW w:w="7227" w:type="dxa"/>
            <w:tcBorders>
              <w:top w:val="single" w:color="auto" w:sz="4" w:space="0"/>
              <w:left w:val="single" w:color="auto" w:sz="4" w:space="0"/>
              <w:right w:val="single" w:color="auto" w:sz="4" w:space="0"/>
            </w:tcBorders>
            <w:vAlign w:val="center"/>
          </w:tcPr>
          <w:p w14:paraId="04D55065">
            <w:pPr>
              <w:widowControl/>
              <w:contextualSpacing/>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售后服务方案全面合理，服务流程及内容具体，响应时间迅速，服务人员齐备，得</w:t>
            </w:r>
            <w:r>
              <w:rPr>
                <w:rFonts w:hint="eastAsia" w:ascii="宋体" w:hAnsi="宋体"/>
                <w:color w:val="000000" w:themeColor="text1"/>
                <w:highlight w:val="none"/>
                <w:lang w:val="en-US" w:eastAsia="zh-CN"/>
                <w14:textFill>
                  <w14:solidFill>
                    <w14:schemeClr w14:val="tx1"/>
                  </w14:solidFill>
                </w14:textFill>
              </w:rPr>
              <w:t>8-10</w:t>
            </w:r>
            <w:r>
              <w:rPr>
                <w:rFonts w:hint="eastAsia" w:ascii="宋体" w:hAnsi="宋体"/>
                <w:color w:val="000000" w:themeColor="text1"/>
                <w:highlight w:val="none"/>
                <w14:textFill>
                  <w14:solidFill>
                    <w14:schemeClr w14:val="tx1"/>
                  </w14:solidFill>
                </w14:textFill>
              </w:rPr>
              <w:t>分。</w:t>
            </w:r>
          </w:p>
          <w:p w14:paraId="0679E905">
            <w:pPr>
              <w:widowControl/>
              <w:contextualSpacing/>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售后服务方案基本满足需要，服务流程及内容基本满足需要，响应时间基本满足需要，服务人员匹配一般，得</w:t>
            </w:r>
            <w:r>
              <w:rPr>
                <w:rFonts w:hint="eastAsia" w:ascii="宋体" w:hAnsi="宋体"/>
                <w:color w:val="000000" w:themeColor="text1"/>
                <w:highlight w:val="none"/>
                <w:lang w:val="en-US" w:eastAsia="zh-CN"/>
                <w14:textFill>
                  <w14:solidFill>
                    <w14:schemeClr w14:val="tx1"/>
                  </w14:solidFill>
                </w14:textFill>
              </w:rPr>
              <w:t>5-7</w:t>
            </w:r>
            <w:r>
              <w:rPr>
                <w:rFonts w:hint="eastAsia" w:ascii="宋体" w:hAnsi="宋体"/>
                <w:color w:val="000000" w:themeColor="text1"/>
                <w:highlight w:val="none"/>
                <w14:textFill>
                  <w14:solidFill>
                    <w14:schemeClr w14:val="tx1"/>
                  </w14:solidFill>
                </w14:textFill>
              </w:rPr>
              <w:t>分。</w:t>
            </w:r>
          </w:p>
          <w:p w14:paraId="3845EE5D">
            <w:pPr>
              <w:widowControl/>
              <w:contextualSpacing/>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售后服务方案基本满足需要，服务流程及内容基本满足需要，响应时间基本满足需要，</w:t>
            </w:r>
            <w:r>
              <w:rPr>
                <w:rFonts w:hint="eastAsia" w:ascii="宋体" w:hAnsi="宋体"/>
                <w:color w:val="000000" w:themeColor="text1"/>
                <w:highlight w:val="none"/>
                <w:lang w:val="en-US" w:eastAsia="zh-CN"/>
                <w14:textFill>
                  <w14:solidFill>
                    <w14:schemeClr w14:val="tx1"/>
                  </w14:solidFill>
                </w14:textFill>
              </w:rPr>
              <w:t>但存在一定缺陷和不足</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2-4</w:t>
            </w:r>
            <w:r>
              <w:rPr>
                <w:rFonts w:hint="eastAsia" w:ascii="宋体" w:hAnsi="宋体"/>
                <w:color w:val="000000" w:themeColor="text1"/>
                <w:highlight w:val="none"/>
                <w14:textFill>
                  <w14:solidFill>
                    <w14:schemeClr w14:val="tx1"/>
                  </w14:solidFill>
                </w14:textFill>
              </w:rPr>
              <w:t>分。</w:t>
            </w:r>
          </w:p>
          <w:p w14:paraId="0DED0C62">
            <w:pPr>
              <w:widowControl/>
              <w:contextualSpacing/>
              <w:jc w:val="left"/>
              <w:rPr>
                <w:rFonts w:ascii="宋体" w:hAnsi="宋体" w:cs="宋体"/>
                <w:highlight w:val="none"/>
              </w:rPr>
            </w:pPr>
            <w:r>
              <w:rPr>
                <w:rFonts w:hint="eastAsia" w:ascii="宋体" w:hAnsi="宋体"/>
                <w:color w:val="000000" w:themeColor="text1"/>
                <w:highlight w:val="none"/>
                <w14:textFill>
                  <w14:solidFill>
                    <w14:schemeClr w14:val="tx1"/>
                  </w14:solidFill>
                </w14:textFill>
              </w:rPr>
              <w:t>售后服务方案较片面，服务流程及内容空洞或欠缺，响应时间缓慢，服务人员匹配欠缺或未提供，得0分。</w:t>
            </w:r>
          </w:p>
        </w:tc>
      </w:tr>
      <w:tr w14:paraId="32A8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14:paraId="69253A25">
            <w:pPr>
              <w:widowControl/>
              <w:contextualSpacing/>
              <w:jc w:val="center"/>
              <w:rPr>
                <w:rFonts w:ascii="宋体" w:hAnsi="宋体" w:cs="宋体"/>
                <w:kern w:val="0"/>
                <w:highlight w:val="none"/>
              </w:rPr>
            </w:pPr>
            <w:r>
              <w:rPr>
                <w:rFonts w:hint="eastAsia" w:ascii="宋体" w:hAnsi="宋体" w:cs="宋体"/>
                <w:kern w:val="0"/>
                <w:highlight w:val="none"/>
              </w:rPr>
              <w:t>6</w:t>
            </w:r>
          </w:p>
        </w:tc>
        <w:tc>
          <w:tcPr>
            <w:tcW w:w="1134" w:type="dxa"/>
            <w:tcBorders>
              <w:left w:val="single" w:color="auto" w:sz="4" w:space="0"/>
              <w:right w:val="single" w:color="auto" w:sz="4" w:space="0"/>
            </w:tcBorders>
            <w:vAlign w:val="center"/>
          </w:tcPr>
          <w:p w14:paraId="54347CD3">
            <w:pPr>
              <w:pStyle w:val="7"/>
              <w:contextualSpacing/>
              <w:jc w:val="center"/>
              <w:rPr>
                <w:rFonts w:ascii="宋体" w:hAnsi="宋体" w:cs="宋体"/>
                <w:sz w:val="21"/>
                <w:highlight w:val="none"/>
              </w:rPr>
            </w:pPr>
            <w:r>
              <w:rPr>
                <w:rFonts w:hint="eastAsia" w:ascii="宋体" w:hAnsi="宋体" w:cs="宋体"/>
                <w:sz w:val="21"/>
                <w:highlight w:val="none"/>
              </w:rPr>
              <w:t>业绩</w:t>
            </w:r>
          </w:p>
        </w:tc>
        <w:tc>
          <w:tcPr>
            <w:tcW w:w="750" w:type="dxa"/>
            <w:tcBorders>
              <w:top w:val="single" w:color="auto" w:sz="4" w:space="0"/>
              <w:left w:val="single" w:color="auto" w:sz="4" w:space="0"/>
              <w:bottom w:val="single" w:color="auto" w:sz="4" w:space="0"/>
              <w:right w:val="single" w:color="auto" w:sz="4" w:space="0"/>
            </w:tcBorders>
            <w:vAlign w:val="center"/>
          </w:tcPr>
          <w:p w14:paraId="7CA58D41">
            <w:pPr>
              <w:widowControl/>
              <w:contextualSpacing/>
              <w:jc w:val="center"/>
              <w:rPr>
                <w:rFonts w:ascii="宋体" w:hAnsi="宋体" w:cs="宋体"/>
                <w:kern w:val="0"/>
                <w:highlight w:val="none"/>
              </w:rPr>
            </w:pPr>
            <w:r>
              <w:rPr>
                <w:rFonts w:hint="eastAsia" w:ascii="宋体" w:hAnsi="宋体" w:cs="宋体"/>
                <w:kern w:val="0"/>
                <w:highlight w:val="none"/>
              </w:rPr>
              <w:t>10分</w:t>
            </w:r>
          </w:p>
        </w:tc>
        <w:tc>
          <w:tcPr>
            <w:tcW w:w="7227" w:type="dxa"/>
            <w:tcBorders>
              <w:top w:val="single" w:color="auto" w:sz="4" w:space="0"/>
              <w:left w:val="single" w:color="auto" w:sz="4" w:space="0"/>
              <w:bottom w:val="single" w:color="auto" w:sz="4" w:space="0"/>
              <w:right w:val="single" w:color="auto" w:sz="4" w:space="0"/>
            </w:tcBorders>
            <w:vAlign w:val="center"/>
          </w:tcPr>
          <w:p w14:paraId="7628F850">
            <w:pPr>
              <w:widowControl/>
              <w:contextualSpacing/>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供应商提供自2022年1月1日（以合同签订日期为准）以来，完成过类似网络安全服务项目的，每有一个案例得2分，最高得10分。</w:t>
            </w:r>
          </w:p>
          <w:p w14:paraId="1CCAFF17">
            <w:pPr>
              <w:autoSpaceDE w:val="0"/>
              <w:autoSpaceDN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（提供合同复印件加盖公章，合同须能反映项目名称、主要标的物，签订时间和签章清晰可见）</w:t>
            </w:r>
          </w:p>
        </w:tc>
      </w:tr>
      <w:tr w14:paraId="0547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04FE381">
            <w:pPr>
              <w:widowControl/>
              <w:contextualSpacing/>
              <w:jc w:val="center"/>
              <w:rPr>
                <w:rFonts w:ascii="宋体" w:hAnsi="宋体" w:cs="宋体"/>
                <w:kern w:val="0"/>
                <w:highlight w:val="none"/>
              </w:rPr>
            </w:pPr>
            <w:r>
              <w:rPr>
                <w:rFonts w:hint="eastAsia" w:ascii="宋体" w:hAnsi="宋体" w:cs="宋体"/>
                <w:kern w:val="0"/>
                <w:highlight w:val="none"/>
              </w:rPr>
              <w:t>7</w:t>
            </w:r>
          </w:p>
        </w:tc>
        <w:tc>
          <w:tcPr>
            <w:tcW w:w="1134" w:type="dxa"/>
            <w:tcBorders>
              <w:left w:val="single" w:color="auto" w:sz="4" w:space="0"/>
              <w:right w:val="single" w:color="auto" w:sz="4" w:space="0"/>
            </w:tcBorders>
            <w:vAlign w:val="center"/>
          </w:tcPr>
          <w:p w14:paraId="63D773CC">
            <w:pPr>
              <w:pStyle w:val="7"/>
              <w:contextualSpacing/>
              <w:jc w:val="center"/>
              <w:rPr>
                <w:rFonts w:ascii="宋体" w:hAnsi="宋体" w:cs="宋体"/>
                <w:sz w:val="21"/>
                <w:highlight w:val="none"/>
              </w:rPr>
            </w:pPr>
            <w:r>
              <w:rPr>
                <w:rFonts w:hint="eastAsia" w:ascii="宋体" w:hAnsi="宋体" w:cs="宋体"/>
                <w:sz w:val="21"/>
                <w:highlight w:val="none"/>
              </w:rPr>
              <w:t>履约能力</w:t>
            </w:r>
          </w:p>
          <w:p w14:paraId="5B825231">
            <w:pPr>
              <w:contextualSpacing/>
              <w:jc w:val="center"/>
              <w:rPr>
                <w:rFonts w:ascii="宋体" w:hAnsi="宋体" w:cs="宋体"/>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1981006">
            <w:pPr>
              <w:widowControl/>
              <w:contextualSpacing/>
              <w:jc w:val="center"/>
              <w:rPr>
                <w:rFonts w:ascii="宋体" w:hAnsi="宋体" w:cs="宋体"/>
                <w:kern w:val="0"/>
                <w:highlight w:val="none"/>
              </w:rPr>
            </w:pPr>
            <w:r>
              <w:rPr>
                <w:rFonts w:hint="eastAsia" w:ascii="宋体" w:hAnsi="宋体" w:cs="宋体"/>
                <w:kern w:val="0"/>
                <w:highlight w:val="none"/>
              </w:rPr>
              <w:t>16分</w:t>
            </w:r>
          </w:p>
        </w:tc>
        <w:tc>
          <w:tcPr>
            <w:tcW w:w="7227" w:type="dxa"/>
            <w:tcBorders>
              <w:top w:val="single" w:color="auto" w:sz="4" w:space="0"/>
              <w:left w:val="single" w:color="auto" w:sz="4" w:space="0"/>
              <w:bottom w:val="single" w:color="auto" w:sz="4" w:space="0"/>
              <w:right w:val="single" w:color="auto" w:sz="4" w:space="0"/>
            </w:tcBorders>
            <w:vAlign w:val="center"/>
          </w:tcPr>
          <w:p w14:paraId="31AB7113">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（1）供应商是市级及以上网络和数据安全应急技术支撑单位（服务资源池单位）的得2分，没有不得分。</w:t>
            </w:r>
          </w:p>
          <w:p w14:paraId="191DB6E7">
            <w:pPr>
              <w:pStyle w:val="9"/>
              <w:ind w:left="0" w:leftChars="0"/>
              <w:rPr>
                <w:rFonts w:ascii="宋体" w:hAnsi="宋体"/>
                <w:highlight w:val="none"/>
              </w:rPr>
            </w:pPr>
            <w:r>
              <w:rPr>
                <w:rFonts w:hint="eastAsia" w:ascii="宋体" w:hAnsi="宋体"/>
                <w:color w:val="000000" w:themeColor="text1"/>
                <w:highlight w:val="none"/>
                <w14:textFill>
                  <w14:solidFill>
                    <w14:schemeClr w14:val="tx1"/>
                  </w14:solidFill>
                </w14:textFill>
              </w:rPr>
              <w:t>（2）供应商具有有效期内的《合规管理体系认证证书》得2分。</w:t>
            </w:r>
          </w:p>
          <w:p w14:paraId="23FE7CF5">
            <w:pPr>
              <w:autoSpaceDE w:val="0"/>
              <w:autoSpaceDN w:val="0"/>
              <w:spacing w:line="360" w:lineRule="auto"/>
              <w:ind w:left="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（3）供应商具有有效期内的中国网络安全审查技术与认证中心信息安全应急处理服务资质得2分。</w:t>
            </w:r>
          </w:p>
          <w:p w14:paraId="750C8FF4">
            <w:pPr>
              <w:autoSpaceDE w:val="0"/>
              <w:autoSpaceDN w:val="0"/>
              <w:spacing w:line="360" w:lineRule="auto"/>
              <w:ind w:left="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(4)供应商具有有效期内的中国网络安全审查技术与认证中心信息风险评估服务资质得2分。</w:t>
            </w:r>
          </w:p>
          <w:p w14:paraId="7DFB7262">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（5）供应商具有有效期内的《通信网络安全服务能力评定证书》得2分。</w:t>
            </w:r>
          </w:p>
          <w:p w14:paraId="3260056D">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（6）供应商具有有效期内的《ITSS信息技术服务运行维护标准符合性证书》得2分。</w:t>
            </w:r>
          </w:p>
          <w:p w14:paraId="28BCE8C3">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（7）供应商具有有效期内的《</w:t>
            </w:r>
            <w:r>
              <w:rPr>
                <w:rFonts w:ascii="宋体" w:hAnsi="宋体"/>
                <w:color w:val="000000" w:themeColor="text1"/>
                <w:highlight w:val="none"/>
                <w14:textFill>
                  <w14:solidFill>
                    <w14:schemeClr w14:val="tx1"/>
                  </w14:solidFill>
                </w14:textFill>
              </w:rPr>
              <w:t>信息技术服务管理体系标准认证</w:t>
            </w:r>
            <w:r>
              <w:rPr>
                <w:rFonts w:hint="eastAsia" w:ascii="宋体" w:hAnsi="宋体"/>
                <w:color w:val="000000" w:themeColor="text1"/>
                <w:highlight w:val="none"/>
                <w14:textFill>
                  <w14:solidFill>
                    <w14:schemeClr w14:val="tx1"/>
                  </w14:solidFill>
                </w14:textFill>
              </w:rPr>
              <w:t>》得2分。</w:t>
            </w:r>
          </w:p>
          <w:p w14:paraId="723A4339">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（8）供应商具有有效期内的《</w:t>
            </w:r>
            <w:r>
              <w:rPr>
                <w:rFonts w:ascii="宋体" w:hAnsi="宋体"/>
                <w:color w:val="000000" w:themeColor="text1"/>
                <w:highlight w:val="none"/>
                <w14:textFill>
                  <w14:solidFill>
                    <w14:schemeClr w14:val="tx1"/>
                  </w14:solidFill>
                </w14:textFill>
              </w:rPr>
              <w:t>质量管理体系认证</w:t>
            </w:r>
            <w:r>
              <w:rPr>
                <w:rFonts w:hint="eastAsia" w:ascii="宋体" w:hAnsi="宋体"/>
                <w:color w:val="000000" w:themeColor="text1"/>
                <w:highlight w:val="none"/>
                <w14:textFill>
                  <w14:solidFill>
                    <w14:schemeClr w14:val="tx1"/>
                  </w14:solidFill>
                </w14:textFill>
              </w:rPr>
              <w:t>》得2分。</w:t>
            </w:r>
          </w:p>
          <w:p w14:paraId="5452BDCA">
            <w:pPr>
              <w:autoSpaceDE w:val="0"/>
              <w:autoSpaceDN w:val="0"/>
              <w:spacing w:line="360" w:lineRule="auto"/>
              <w:rPr>
                <w:rFonts w:ascii="宋体" w:hAnsi="宋体" w:cs="宋体"/>
                <w:b/>
                <w:highlight w:val="none"/>
              </w:rPr>
            </w:pPr>
            <w:r>
              <w:rPr>
                <w:rFonts w:hint="eastAsia" w:ascii="宋体" w:hAnsi="宋体"/>
                <w:b/>
                <w:bCs/>
                <w:color w:val="000000" w:themeColor="text1"/>
                <w:highlight w:val="none"/>
                <w14:textFill>
                  <w14:solidFill>
                    <w14:schemeClr w14:val="tx1"/>
                  </w14:solidFill>
                </w14:textFill>
              </w:rPr>
              <w:t>须提供上述证书和证明材料复印件并加盖公章，未提供或未盖章不得分。</w:t>
            </w:r>
          </w:p>
        </w:tc>
      </w:tr>
      <w:tr w14:paraId="1931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14:paraId="2CD37026">
            <w:pPr>
              <w:widowControl/>
              <w:contextualSpacing/>
              <w:jc w:val="center"/>
              <w:rPr>
                <w:rFonts w:ascii="宋体" w:hAnsi="宋体" w:cs="宋体"/>
                <w:kern w:val="0"/>
                <w:highlight w:val="none"/>
              </w:rPr>
            </w:pPr>
            <w:r>
              <w:rPr>
                <w:rFonts w:hint="eastAsia" w:ascii="宋体" w:hAnsi="宋体" w:cs="宋体"/>
                <w:kern w:val="0"/>
                <w:highlight w:val="none"/>
              </w:rPr>
              <w:t>8</w:t>
            </w:r>
          </w:p>
        </w:tc>
        <w:tc>
          <w:tcPr>
            <w:tcW w:w="1134" w:type="dxa"/>
            <w:tcBorders>
              <w:left w:val="single" w:color="auto" w:sz="4" w:space="0"/>
              <w:right w:val="single" w:color="auto" w:sz="4" w:space="0"/>
            </w:tcBorders>
            <w:vAlign w:val="center"/>
          </w:tcPr>
          <w:p w14:paraId="46823294">
            <w:pPr>
              <w:pStyle w:val="7"/>
              <w:contextualSpacing/>
              <w:jc w:val="center"/>
              <w:rPr>
                <w:rFonts w:ascii="宋体" w:hAnsi="宋体" w:cs="宋体"/>
                <w:sz w:val="21"/>
                <w:highlight w:val="none"/>
              </w:rPr>
            </w:pPr>
            <w:r>
              <w:rPr>
                <w:rFonts w:hint="eastAsia" w:ascii="宋体" w:hAnsi="宋体" w:cs="宋体"/>
                <w:sz w:val="21"/>
                <w:highlight w:val="none"/>
              </w:rPr>
              <w:t>人员能力</w:t>
            </w:r>
          </w:p>
        </w:tc>
        <w:tc>
          <w:tcPr>
            <w:tcW w:w="750" w:type="dxa"/>
            <w:tcBorders>
              <w:top w:val="single" w:color="auto" w:sz="4" w:space="0"/>
              <w:left w:val="single" w:color="auto" w:sz="4" w:space="0"/>
              <w:bottom w:val="single" w:color="auto" w:sz="4" w:space="0"/>
              <w:right w:val="single" w:color="auto" w:sz="4" w:space="0"/>
            </w:tcBorders>
            <w:vAlign w:val="center"/>
          </w:tcPr>
          <w:p w14:paraId="0BDB2A44">
            <w:pPr>
              <w:widowControl/>
              <w:contextualSpacing/>
              <w:jc w:val="center"/>
              <w:rPr>
                <w:rFonts w:ascii="宋体" w:hAnsi="宋体" w:cs="宋体"/>
                <w:kern w:val="0"/>
                <w:highlight w:val="none"/>
              </w:rPr>
            </w:pPr>
            <w:r>
              <w:rPr>
                <w:rFonts w:hint="eastAsia" w:ascii="宋体" w:hAnsi="宋体" w:cs="宋体"/>
                <w:kern w:val="0"/>
                <w:highlight w:val="none"/>
              </w:rPr>
              <w:t>14</w:t>
            </w:r>
          </w:p>
        </w:tc>
        <w:tc>
          <w:tcPr>
            <w:tcW w:w="7227" w:type="dxa"/>
            <w:tcBorders>
              <w:top w:val="single" w:color="auto" w:sz="4" w:space="0"/>
              <w:left w:val="single" w:color="auto" w:sz="4" w:space="0"/>
              <w:bottom w:val="single" w:color="auto" w:sz="4" w:space="0"/>
              <w:right w:val="single" w:color="auto" w:sz="4" w:space="0"/>
            </w:tcBorders>
            <w:vAlign w:val="center"/>
          </w:tcPr>
          <w:p w14:paraId="71F125A7">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项目经理同时具备注册信息安全管理人员(CISP-CIS0)、CIIPT资质、CISAW（信息安全保障人员）资质、CCSC网络安全能力认证、CCRC数据安全官证书、PMP或信息系统项目管理师证书、注册渗透测试工程师证书（CISP-PTE），具备得7分，少一项不得分。</w:t>
            </w:r>
          </w:p>
          <w:p w14:paraId="4B3E654A">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2、项目组其他成员（不含项目经理）：</w:t>
            </w:r>
          </w:p>
          <w:p w14:paraId="33C097D5">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有信息安全保障人员认证证书（CISAW）证书、注册信息安全专业人员（CISP）证书、CIIPT证书、PMP或信息系统项目管理师证书、注册网络安全渗透评估专业人员证书（NSATP-A专业级）、注册渗透测试工程师证书（CISP-PTE）、CCRC数据安全官证书的每有一个得1分，最多得7分。</w:t>
            </w:r>
          </w:p>
          <w:p w14:paraId="7E8D98F2">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须提供以上人员的相关证书复印件并加盖公章，同时提供响应人近半年为该技术人员缴纳社保的有效证明材料,否则不得分。</w:t>
            </w:r>
          </w:p>
        </w:tc>
      </w:tr>
    </w:tbl>
    <w:p w14:paraId="1B6A9187">
      <w:pPr>
        <w:spacing w:line="360" w:lineRule="auto"/>
        <w:rPr>
          <w:u w:val="single"/>
        </w:rPr>
      </w:pPr>
      <w:r>
        <w:rPr>
          <w:u w:val="single"/>
        </w:rPr>
        <w:t>2.小微企业价格扣除</w:t>
      </w:r>
    </w:p>
    <w:p w14:paraId="625D98E5">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14:paraId="3BBF7384">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3ABF5F21">
      <w:pPr>
        <w:spacing w:line="360" w:lineRule="auto"/>
        <w:rPr>
          <w:u w:val="single"/>
        </w:rPr>
      </w:pPr>
      <w:r>
        <w:rPr>
          <w:u w:val="single"/>
        </w:rPr>
        <w:t>3.监狱和戒毒企业的价格扣除</w:t>
      </w:r>
    </w:p>
    <w:p w14:paraId="5AB1361A">
      <w:pPr>
        <w:spacing w:line="360" w:lineRule="auto"/>
        <w:rPr>
          <w:u w:val="single"/>
        </w:rPr>
      </w:pPr>
      <w:r>
        <w:rPr>
          <w:u w:val="single"/>
        </w:rPr>
        <w:t>3.1 本项目对监狱和戒毒企业，给予10%的价格扣除，用扣除后的价格参与评审。</w:t>
      </w:r>
    </w:p>
    <w:p w14:paraId="5B75575D">
      <w:pPr>
        <w:spacing w:line="360" w:lineRule="auto"/>
        <w:rPr>
          <w:u w:val="single"/>
        </w:rPr>
      </w:pPr>
      <w:r>
        <w:rPr>
          <w:u w:val="single"/>
        </w:rPr>
        <w:t>3.2 监狱企业需提供由省级以上监狱管理局、戒毒管理局（含新疆生产建设兵团）出具的属于监狱企业的证明文件。</w:t>
      </w:r>
    </w:p>
    <w:p w14:paraId="3FA57569">
      <w:pPr>
        <w:spacing w:line="360" w:lineRule="auto"/>
        <w:rPr>
          <w:u w:val="single"/>
        </w:rPr>
      </w:pPr>
      <w:r>
        <w:rPr>
          <w:u w:val="single"/>
        </w:rPr>
        <w:t>3.3 监狱企业标准请参照《关于政府采购支持监狱企业发展有关问题的通知》（财库〔2014〕68号）。</w:t>
      </w:r>
    </w:p>
    <w:p w14:paraId="499602D4">
      <w:pPr>
        <w:spacing w:line="360" w:lineRule="auto"/>
        <w:rPr>
          <w:u w:val="single"/>
        </w:rPr>
      </w:pPr>
      <w:r>
        <w:rPr>
          <w:u w:val="single"/>
        </w:rPr>
        <w:t>4.残疾人福利性单位的价格扣除</w:t>
      </w:r>
    </w:p>
    <w:p w14:paraId="1AF75603">
      <w:pPr>
        <w:spacing w:line="360" w:lineRule="auto"/>
        <w:rPr>
          <w:u w:val="single"/>
        </w:rPr>
      </w:pPr>
      <w:r>
        <w:rPr>
          <w:u w:val="single"/>
        </w:rPr>
        <w:t>4.1 本项目对残疾人福利性单位，给予10%的价格扣除，用扣除后的价格参与评审。</w:t>
      </w:r>
    </w:p>
    <w:p w14:paraId="1DAB6026">
      <w:pPr>
        <w:spacing w:line="360" w:lineRule="auto"/>
        <w:rPr>
          <w:u w:val="single"/>
        </w:rPr>
      </w:pPr>
      <w:r>
        <w:rPr>
          <w:u w:val="single"/>
        </w:rPr>
        <w:t>4.2 残疾人福利性单位需提供《残疾人福利性单位声明函》</w:t>
      </w:r>
    </w:p>
    <w:p w14:paraId="529447FA">
      <w:pPr>
        <w:spacing w:line="360" w:lineRule="auto"/>
        <w:rPr>
          <w:u w:val="single"/>
        </w:rPr>
      </w:pPr>
      <w:r>
        <w:rPr>
          <w:u w:val="single"/>
        </w:rPr>
        <w:t>4.3 残疾人福利性单位标准请参照《关于促进残疾人就业政府采购政策的通知》（财库〔2017〕141号）。</w:t>
      </w:r>
    </w:p>
    <w:p w14:paraId="1D9A282D">
      <w:pPr>
        <w:spacing w:line="360" w:lineRule="auto"/>
      </w:pPr>
      <w:r>
        <w:rPr>
          <w:u w:val="single"/>
        </w:rPr>
        <w:t>5. 监狱企业、残疾人福利性单位属于小型、微型企业的，不重复享受政策。</w:t>
      </w:r>
    </w:p>
    <w:p w14:paraId="3E03FE78">
      <w:pPr>
        <w:widowControl/>
        <w:spacing w:line="360" w:lineRule="auto"/>
        <w:ind w:firstLine="420" w:firstLineChars="200"/>
        <w:jc w:val="left"/>
      </w:pPr>
    </w:p>
    <w:p w14:paraId="3A461D4F">
      <w:pPr>
        <w:widowControl/>
        <w:spacing w:line="360" w:lineRule="auto"/>
        <w:ind w:firstLine="420" w:firstLineChars="200"/>
        <w:jc w:val="left"/>
      </w:pPr>
    </w:p>
    <w:p w14:paraId="2EDF1FC4">
      <w:pPr>
        <w:pStyle w:val="8"/>
      </w:pPr>
    </w:p>
    <w:p w14:paraId="40D2614B">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61EB51D6">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14:paraId="1BAF658C">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一、采购内容</w:t>
      </w:r>
    </w:p>
    <w:p w14:paraId="32D7676E">
      <w:pPr>
        <w:widowControl/>
        <w:spacing w:line="360" w:lineRule="auto"/>
        <w:ind w:firstLine="480" w:firstLineChars="200"/>
        <w:jc w:val="left"/>
        <w:rPr>
          <w:rFonts w:ascii="仿宋" w:hAnsi="仿宋" w:eastAsia="仿宋" w:cs="宋体"/>
          <w:sz w:val="24"/>
          <w:szCs w:val="28"/>
        </w:rPr>
      </w:pPr>
      <w:r>
        <w:rPr>
          <w:rFonts w:ascii="仿宋" w:hAnsi="仿宋" w:eastAsia="仿宋"/>
          <w:sz w:val="24"/>
          <w:szCs w:val="28"/>
        </w:rPr>
        <w:t>南京市疾病预防控制中心</w:t>
      </w:r>
      <w:r>
        <w:rPr>
          <w:rFonts w:hint="eastAsia" w:ascii="仿宋" w:hAnsi="仿宋" w:eastAsia="仿宋"/>
          <w:sz w:val="24"/>
          <w:szCs w:val="28"/>
        </w:rPr>
        <w:t>网络安全运维服务</w:t>
      </w:r>
    </w:p>
    <w:p w14:paraId="0CA7A9F3">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二、服务需求清单及周期</w:t>
      </w:r>
    </w:p>
    <w:tbl>
      <w:tblPr>
        <w:tblStyle w:val="46"/>
        <w:tblW w:w="7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640"/>
        <w:gridCol w:w="1241"/>
        <w:gridCol w:w="1046"/>
      </w:tblGrid>
      <w:tr w14:paraId="41CF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vAlign w:val="center"/>
          </w:tcPr>
          <w:p w14:paraId="172F9197">
            <w:pPr>
              <w:widowControl/>
              <w:spacing w:line="360" w:lineRule="auto"/>
              <w:jc w:val="left"/>
              <w:rPr>
                <w:rFonts w:ascii="仿宋" w:hAnsi="仿宋" w:eastAsia="仿宋"/>
                <w:sz w:val="24"/>
                <w:szCs w:val="28"/>
              </w:rPr>
            </w:pPr>
            <w:r>
              <w:rPr>
                <w:rFonts w:hint="eastAsia" w:ascii="仿宋" w:hAnsi="仿宋" w:eastAsia="仿宋"/>
                <w:sz w:val="24"/>
                <w:szCs w:val="28"/>
              </w:rPr>
              <w:t>序号</w:t>
            </w:r>
          </w:p>
        </w:tc>
        <w:tc>
          <w:tcPr>
            <w:tcW w:w="3640" w:type="dxa"/>
            <w:vAlign w:val="center"/>
          </w:tcPr>
          <w:p w14:paraId="16F11E2E">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产品/服务名称</w:t>
            </w:r>
          </w:p>
        </w:tc>
        <w:tc>
          <w:tcPr>
            <w:tcW w:w="1241" w:type="dxa"/>
            <w:vAlign w:val="center"/>
          </w:tcPr>
          <w:p w14:paraId="3B1F99C3">
            <w:pPr>
              <w:widowControl/>
              <w:spacing w:line="360" w:lineRule="auto"/>
              <w:jc w:val="left"/>
              <w:rPr>
                <w:rFonts w:ascii="仿宋" w:hAnsi="仿宋" w:eastAsia="仿宋"/>
                <w:sz w:val="24"/>
                <w:szCs w:val="28"/>
              </w:rPr>
            </w:pPr>
            <w:r>
              <w:rPr>
                <w:rFonts w:hint="eastAsia" w:ascii="仿宋" w:hAnsi="仿宋" w:eastAsia="仿宋"/>
                <w:sz w:val="24"/>
                <w:szCs w:val="28"/>
              </w:rPr>
              <w:t>数量</w:t>
            </w:r>
          </w:p>
        </w:tc>
        <w:tc>
          <w:tcPr>
            <w:tcW w:w="1046" w:type="dxa"/>
            <w:vAlign w:val="center"/>
          </w:tcPr>
          <w:p w14:paraId="465A9984">
            <w:pPr>
              <w:widowControl/>
              <w:spacing w:line="360" w:lineRule="auto"/>
              <w:jc w:val="left"/>
              <w:rPr>
                <w:rFonts w:ascii="仿宋" w:hAnsi="仿宋" w:eastAsia="仿宋"/>
                <w:sz w:val="24"/>
                <w:szCs w:val="28"/>
              </w:rPr>
            </w:pPr>
            <w:r>
              <w:rPr>
                <w:rFonts w:hint="eastAsia" w:ascii="仿宋" w:hAnsi="仿宋" w:eastAsia="仿宋"/>
                <w:sz w:val="24"/>
                <w:szCs w:val="28"/>
              </w:rPr>
              <w:t>单位</w:t>
            </w:r>
          </w:p>
        </w:tc>
      </w:tr>
      <w:tr w14:paraId="0C1D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vAlign w:val="center"/>
          </w:tcPr>
          <w:p w14:paraId="453193EC">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1</w:t>
            </w:r>
          </w:p>
        </w:tc>
        <w:tc>
          <w:tcPr>
            <w:tcW w:w="3640" w:type="dxa"/>
            <w:vAlign w:val="center"/>
          </w:tcPr>
          <w:p w14:paraId="1A04AACA">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安全驻场服务</w:t>
            </w:r>
          </w:p>
        </w:tc>
        <w:tc>
          <w:tcPr>
            <w:tcW w:w="1241" w:type="dxa"/>
            <w:vAlign w:val="center"/>
          </w:tcPr>
          <w:p w14:paraId="4018C9FF">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1</w:t>
            </w:r>
          </w:p>
        </w:tc>
        <w:tc>
          <w:tcPr>
            <w:tcW w:w="1046" w:type="dxa"/>
            <w:vAlign w:val="center"/>
          </w:tcPr>
          <w:p w14:paraId="120A0179">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项</w:t>
            </w:r>
          </w:p>
        </w:tc>
      </w:tr>
      <w:tr w14:paraId="690B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vAlign w:val="center"/>
          </w:tcPr>
          <w:p w14:paraId="5BB34DC7">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2</w:t>
            </w:r>
          </w:p>
        </w:tc>
        <w:tc>
          <w:tcPr>
            <w:tcW w:w="3640" w:type="dxa"/>
            <w:vAlign w:val="center"/>
          </w:tcPr>
          <w:p w14:paraId="08BBA6EF">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漏洞扫描</w:t>
            </w:r>
          </w:p>
        </w:tc>
        <w:tc>
          <w:tcPr>
            <w:tcW w:w="1241" w:type="dxa"/>
            <w:vAlign w:val="center"/>
          </w:tcPr>
          <w:p w14:paraId="21FFD7EC">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1</w:t>
            </w:r>
          </w:p>
        </w:tc>
        <w:tc>
          <w:tcPr>
            <w:tcW w:w="1046" w:type="dxa"/>
            <w:vAlign w:val="center"/>
          </w:tcPr>
          <w:p w14:paraId="6F0B3BF1">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项</w:t>
            </w:r>
          </w:p>
        </w:tc>
      </w:tr>
      <w:tr w14:paraId="055E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vAlign w:val="center"/>
          </w:tcPr>
          <w:p w14:paraId="68EDCC45">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3</w:t>
            </w:r>
          </w:p>
        </w:tc>
        <w:tc>
          <w:tcPr>
            <w:tcW w:w="3640" w:type="dxa"/>
            <w:vAlign w:val="center"/>
          </w:tcPr>
          <w:p w14:paraId="05C26D5A">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渗透测试</w:t>
            </w:r>
          </w:p>
        </w:tc>
        <w:tc>
          <w:tcPr>
            <w:tcW w:w="1241" w:type="dxa"/>
            <w:vAlign w:val="center"/>
          </w:tcPr>
          <w:p w14:paraId="0EE9D9F5">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1</w:t>
            </w:r>
          </w:p>
        </w:tc>
        <w:tc>
          <w:tcPr>
            <w:tcW w:w="1046" w:type="dxa"/>
            <w:vAlign w:val="center"/>
          </w:tcPr>
          <w:p w14:paraId="3C5B51B0">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项</w:t>
            </w:r>
          </w:p>
        </w:tc>
      </w:tr>
      <w:tr w14:paraId="0F17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vAlign w:val="center"/>
          </w:tcPr>
          <w:p w14:paraId="1CEA0DC9">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4</w:t>
            </w:r>
          </w:p>
        </w:tc>
        <w:tc>
          <w:tcPr>
            <w:tcW w:w="3640" w:type="dxa"/>
            <w:vAlign w:val="center"/>
          </w:tcPr>
          <w:p w14:paraId="5A1F9024">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网络安全培训</w:t>
            </w:r>
          </w:p>
        </w:tc>
        <w:tc>
          <w:tcPr>
            <w:tcW w:w="1241" w:type="dxa"/>
            <w:vAlign w:val="center"/>
          </w:tcPr>
          <w:p w14:paraId="07E990CB">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1</w:t>
            </w:r>
          </w:p>
        </w:tc>
        <w:tc>
          <w:tcPr>
            <w:tcW w:w="1046" w:type="dxa"/>
            <w:vAlign w:val="center"/>
          </w:tcPr>
          <w:p w14:paraId="26647BD0">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项</w:t>
            </w:r>
          </w:p>
        </w:tc>
      </w:tr>
      <w:tr w14:paraId="3F02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31" w:type="dxa"/>
            <w:vAlign w:val="center"/>
          </w:tcPr>
          <w:p w14:paraId="16434119">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5</w:t>
            </w:r>
          </w:p>
        </w:tc>
        <w:tc>
          <w:tcPr>
            <w:tcW w:w="3640" w:type="dxa"/>
            <w:vAlign w:val="center"/>
          </w:tcPr>
          <w:p w14:paraId="2D251AF3">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重大活动保障</w:t>
            </w:r>
          </w:p>
        </w:tc>
        <w:tc>
          <w:tcPr>
            <w:tcW w:w="1241" w:type="dxa"/>
            <w:vAlign w:val="center"/>
          </w:tcPr>
          <w:p w14:paraId="03879EF8">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1</w:t>
            </w:r>
          </w:p>
        </w:tc>
        <w:tc>
          <w:tcPr>
            <w:tcW w:w="1046" w:type="dxa"/>
            <w:vAlign w:val="center"/>
          </w:tcPr>
          <w:p w14:paraId="04EA3689">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项</w:t>
            </w:r>
          </w:p>
        </w:tc>
      </w:tr>
      <w:tr w14:paraId="0CCF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31" w:type="dxa"/>
            <w:vAlign w:val="center"/>
          </w:tcPr>
          <w:p w14:paraId="4EB2D4D6">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6</w:t>
            </w:r>
          </w:p>
        </w:tc>
        <w:tc>
          <w:tcPr>
            <w:tcW w:w="3640" w:type="dxa"/>
            <w:vAlign w:val="center"/>
          </w:tcPr>
          <w:p w14:paraId="3D9C0131">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应急演练</w:t>
            </w:r>
          </w:p>
        </w:tc>
        <w:tc>
          <w:tcPr>
            <w:tcW w:w="1241" w:type="dxa"/>
            <w:vAlign w:val="center"/>
          </w:tcPr>
          <w:p w14:paraId="24E67A69">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1</w:t>
            </w:r>
          </w:p>
        </w:tc>
        <w:tc>
          <w:tcPr>
            <w:tcW w:w="1046" w:type="dxa"/>
            <w:vAlign w:val="center"/>
          </w:tcPr>
          <w:p w14:paraId="38F2DE2B">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项</w:t>
            </w:r>
          </w:p>
        </w:tc>
      </w:tr>
    </w:tbl>
    <w:p w14:paraId="132BE22C">
      <w:pPr>
        <w:widowControl/>
        <w:spacing w:line="360" w:lineRule="auto"/>
        <w:jc w:val="left"/>
        <w:rPr>
          <w:rFonts w:ascii="仿宋" w:hAnsi="仿宋" w:eastAsia="仿宋" w:cs="宋体"/>
          <w:sz w:val="24"/>
          <w:szCs w:val="28"/>
        </w:rPr>
      </w:pPr>
    </w:p>
    <w:p w14:paraId="15906C6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服务周期：</w:t>
      </w:r>
      <w:r>
        <w:rPr>
          <w:rFonts w:hint="eastAsia" w:ascii="仿宋" w:hAnsi="仿宋" w:eastAsia="仿宋" w:cs="宋体"/>
          <w:sz w:val="24"/>
          <w:szCs w:val="28"/>
          <w:lang w:val="en-US" w:eastAsia="zh-CN"/>
        </w:rPr>
        <w:t>自签订合同</w:t>
      </w:r>
      <w:r>
        <w:rPr>
          <w:rFonts w:hint="eastAsia" w:ascii="仿宋" w:hAnsi="仿宋" w:eastAsia="仿宋" w:cs="宋体"/>
          <w:sz w:val="24"/>
          <w:szCs w:val="28"/>
        </w:rPr>
        <w:t>12个月</w:t>
      </w:r>
    </w:p>
    <w:p w14:paraId="609C8583">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三、网络安全服务要求</w:t>
      </w:r>
    </w:p>
    <w:p w14:paraId="6FBACC5A">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1、安全驻场服务</w:t>
      </w:r>
    </w:p>
    <w:p w14:paraId="6C3E89C2">
      <w:pPr>
        <w:spacing w:line="360" w:lineRule="auto"/>
        <w:ind w:firstLine="480" w:firstLineChars="200"/>
        <w:rPr>
          <w:rFonts w:ascii="仿宋" w:hAnsi="仿宋" w:eastAsia="仿宋" w:cs="宋体"/>
          <w:sz w:val="24"/>
          <w:szCs w:val="28"/>
        </w:rPr>
      </w:pPr>
      <w:r>
        <w:rPr>
          <w:rFonts w:ascii="仿宋" w:hAnsi="仿宋" w:eastAsia="仿宋" w:cs="宋体"/>
          <w:sz w:val="24"/>
          <w:szCs w:val="28"/>
        </w:rPr>
        <w:t>负责对所有设备的应用操作，提交配置现状和存储应用情况报告，设备的运行情况，保修期、存储空间等及时进行提醒。并建立各种相关系统软件故障的恢复流程及应急措施，协助中心进行设备搬迁、网络改造等工作。</w:t>
      </w:r>
    </w:p>
    <w:p w14:paraId="4466D04A">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根据实时监测、预警通报等服务的分析汇总结果，形成网络安全季度报告、年度总结报告以及重要时期和重要服务专项报告。</w:t>
      </w:r>
    </w:p>
    <w:p w14:paraId="375178B5">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报告的内容包括但不限于如下内容：</w:t>
      </w:r>
    </w:p>
    <w:p w14:paraId="4B9078B7">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从网络安全态势角度进行分析，包括在线网站数量，服务质量情况（服务异常、延时过大、页面资源过大等情况分析），整体网站主要漏洞情况分析，整体网站出现的安全事件分析，最新的网络安全问题和网络空间开放端口情况分析，网络空间整体安全态势全局分析；</w:t>
      </w:r>
    </w:p>
    <w:p w14:paraId="12D03DE2">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（2）从资产角度出发，包括网站、重要信息系统、终端等不同资产类型，根据资产详细信息，比如资产所属IP或IP段、操作系统、端口、中间件、服务器类型等，形成对资产的分析。</w:t>
      </w:r>
    </w:p>
    <w:p w14:paraId="3637DB6D">
      <w:pPr>
        <w:spacing w:line="360" w:lineRule="auto"/>
        <w:ind w:firstLine="482" w:firstLineChars="200"/>
        <w:rPr>
          <w:rFonts w:hint="eastAsia" w:ascii="仿宋" w:hAnsi="仿宋" w:eastAsia="仿宋" w:cs="宋体"/>
          <w:b/>
          <w:bCs/>
          <w:sz w:val="24"/>
          <w:szCs w:val="28"/>
        </w:rPr>
      </w:pPr>
      <w:r>
        <w:rPr>
          <w:rFonts w:hint="eastAsia" w:ascii="仿宋" w:hAnsi="仿宋" w:eastAsia="仿宋" w:cs="宋体"/>
          <w:b/>
          <w:bCs/>
          <w:sz w:val="24"/>
          <w:szCs w:val="28"/>
        </w:rPr>
        <w:t>2、漏洞扫描</w:t>
      </w:r>
    </w:p>
    <w:p w14:paraId="64F4642B">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依托一种或者多种技术平台定期（季度）及不定期（涉及安全稳定的重要安全时期、重大安全威胁）扫描网站和重要信息系统等互联网资产，发现目标主机可能存在的安全漏洞。对不能确定的安全漏洞，及时安排技术人员进行人工排查。对于确定存在的安全漏洞，及时发出预警通报并提供专业的修复整改意见。</w:t>
      </w:r>
    </w:p>
    <w:p w14:paraId="5722967F">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对国际国内最新的网络安全威胁情报实时监控，能第一时间获取最新的安全威胁，确认最新的安全威胁所利用的安全漏洞、影响的系统类型以及恶意攻击对象，对最新网络安全威胁可能对我市网络安全态势造成的影响进行预判，根据其影响范围、危害确定预警等级，并提供相应的威胁分析和具体的防范措施。</w:t>
      </w:r>
    </w:p>
    <w:p w14:paraId="17E9B97F">
      <w:pPr>
        <w:spacing w:line="360" w:lineRule="auto"/>
        <w:ind w:firstLine="480" w:firstLineChars="200"/>
        <w:rPr>
          <w:rFonts w:ascii="仿宋" w:hAnsi="仿宋" w:eastAsia="仿宋" w:cs="宋体"/>
          <w:sz w:val="24"/>
          <w:szCs w:val="28"/>
        </w:rPr>
      </w:pPr>
      <w:r>
        <w:rPr>
          <w:rFonts w:ascii="仿宋" w:hAnsi="仿宋" w:eastAsia="仿宋" w:cs="宋体"/>
          <w:sz w:val="24"/>
          <w:szCs w:val="28"/>
        </w:rPr>
        <w:t>包括主机安全和应用安全。扫描漏洞如：注入攻击、跨站脚本、钓鱼攻击、信息泄漏、恶意编码、表单 绕过、缓冲区溢出、最新病毒预警等，并提供详尽实用的扫描报告。使用户充分了解各项应用中存在的安全隐患，帮助用户建立安全可 靠的应用服务，改善并提升用户系统</w:t>
      </w:r>
      <w:r>
        <w:rPr>
          <w:rFonts w:hint="eastAsia" w:ascii="仿宋" w:hAnsi="仿宋" w:eastAsia="仿宋" w:cs="宋体"/>
          <w:sz w:val="24"/>
          <w:szCs w:val="28"/>
        </w:rPr>
        <w:t>抵</w:t>
      </w:r>
      <w:r>
        <w:rPr>
          <w:rFonts w:ascii="仿宋" w:hAnsi="仿宋" w:eastAsia="仿宋" w:cs="宋体"/>
          <w:sz w:val="24"/>
          <w:szCs w:val="28"/>
        </w:rPr>
        <w:t>抗各类应用攻击的能力。根据扫 描的结果出具总结性报告，并给出具体解决方案，消除漏洞危害，保证主机系统环境和软件环境的健康运行。</w:t>
      </w:r>
    </w:p>
    <w:p w14:paraId="7C7DE8E4">
      <w:pPr>
        <w:spacing w:line="360" w:lineRule="auto"/>
        <w:ind w:firstLine="482" w:firstLineChars="200"/>
        <w:rPr>
          <w:rFonts w:ascii="仿宋" w:hAnsi="仿宋" w:eastAsia="仿宋" w:cs="宋体"/>
          <w:b/>
          <w:bCs/>
          <w:sz w:val="24"/>
          <w:szCs w:val="28"/>
        </w:rPr>
      </w:pPr>
      <w:r>
        <w:rPr>
          <w:rFonts w:hint="eastAsia" w:ascii="仿宋" w:hAnsi="仿宋" w:eastAsia="仿宋" w:cs="宋体"/>
          <w:b/>
          <w:bCs/>
          <w:sz w:val="24"/>
          <w:szCs w:val="28"/>
        </w:rPr>
        <w:t>3、渗透测试</w:t>
      </w:r>
    </w:p>
    <w:p w14:paraId="6B9B58DB">
      <w:pPr>
        <w:spacing w:line="360" w:lineRule="auto"/>
        <w:ind w:firstLine="480" w:firstLineChars="200"/>
        <w:rPr>
          <w:rFonts w:ascii="仿宋" w:hAnsi="仿宋" w:eastAsia="仿宋" w:cs="宋体"/>
          <w:sz w:val="24"/>
          <w:szCs w:val="28"/>
        </w:rPr>
      </w:pPr>
      <w:r>
        <w:rPr>
          <w:rFonts w:ascii="仿宋" w:hAnsi="仿宋" w:eastAsia="仿宋" w:cs="宋体"/>
          <w:sz w:val="24"/>
          <w:szCs w:val="28"/>
        </w:rPr>
        <w:t>每季度</w:t>
      </w:r>
      <w:r>
        <w:rPr>
          <w:rFonts w:hint="eastAsia" w:ascii="仿宋" w:hAnsi="仿宋" w:eastAsia="仿宋" w:cs="宋体"/>
          <w:sz w:val="24"/>
          <w:szCs w:val="28"/>
        </w:rPr>
        <w:t>针对网站和重要信息系统等互联网资产</w:t>
      </w:r>
      <w:r>
        <w:rPr>
          <w:rFonts w:ascii="仿宋" w:hAnsi="仿宋" w:eastAsia="仿宋" w:cs="宋体"/>
          <w:sz w:val="24"/>
          <w:szCs w:val="28"/>
        </w:rPr>
        <w:t>渗透测试，及时发现存在的安全隐患</w:t>
      </w:r>
      <w:r>
        <w:rPr>
          <w:rFonts w:hint="eastAsia" w:ascii="仿宋" w:hAnsi="仿宋" w:eastAsia="仿宋" w:cs="宋体"/>
          <w:sz w:val="24"/>
          <w:szCs w:val="28"/>
        </w:rPr>
        <w:t>和问题，</w:t>
      </w:r>
      <w:r>
        <w:rPr>
          <w:rFonts w:ascii="仿宋" w:hAnsi="仿宋" w:eastAsia="仿宋" w:cs="宋体"/>
          <w:sz w:val="24"/>
          <w:szCs w:val="28"/>
        </w:rPr>
        <w:t>对</w:t>
      </w:r>
      <w:r>
        <w:rPr>
          <w:rFonts w:hint="eastAsia" w:ascii="仿宋" w:hAnsi="仿宋" w:eastAsia="仿宋" w:cs="宋体"/>
          <w:sz w:val="24"/>
          <w:szCs w:val="28"/>
        </w:rPr>
        <w:t>网站和重要信息系统</w:t>
      </w:r>
      <w:r>
        <w:rPr>
          <w:rFonts w:ascii="仿宋" w:hAnsi="仿宋" w:eastAsia="仿宋" w:cs="宋体"/>
          <w:sz w:val="24"/>
          <w:szCs w:val="28"/>
        </w:rPr>
        <w:t>自身安全情况进行等级化评估，</w:t>
      </w:r>
      <w:r>
        <w:rPr>
          <w:rFonts w:hint="eastAsia" w:ascii="仿宋" w:hAnsi="仿宋" w:eastAsia="仿宋" w:cs="宋体"/>
          <w:sz w:val="24"/>
          <w:szCs w:val="28"/>
        </w:rPr>
        <w:t>分析当前现状和国家及行业安全标准要求之间的差距，提出渗透测试报告和整改加固建议</w:t>
      </w:r>
      <w:r>
        <w:rPr>
          <w:rFonts w:ascii="仿宋" w:hAnsi="仿宋" w:eastAsia="仿宋" w:cs="宋体"/>
          <w:sz w:val="24"/>
          <w:szCs w:val="28"/>
        </w:rPr>
        <w:t>。每季度</w:t>
      </w:r>
      <w:r>
        <w:rPr>
          <w:rFonts w:hint="eastAsia" w:ascii="仿宋" w:hAnsi="仿宋" w:eastAsia="仿宋" w:cs="宋体"/>
          <w:sz w:val="24"/>
          <w:szCs w:val="28"/>
        </w:rPr>
        <w:t>对疾控中心业务系统的网络设备、安全设备、服务器、数据库安全状态进行安全巡检，并提交巡检报告。</w:t>
      </w:r>
    </w:p>
    <w:p w14:paraId="4728C67B">
      <w:pPr>
        <w:spacing w:line="360" w:lineRule="auto"/>
        <w:ind w:firstLine="482" w:firstLineChars="200"/>
        <w:rPr>
          <w:rFonts w:ascii="仿宋" w:hAnsi="仿宋" w:eastAsia="仿宋" w:cs="宋体"/>
          <w:b/>
          <w:bCs/>
          <w:sz w:val="24"/>
          <w:szCs w:val="28"/>
        </w:rPr>
      </w:pPr>
      <w:r>
        <w:rPr>
          <w:rFonts w:hint="eastAsia" w:ascii="仿宋" w:hAnsi="仿宋" w:eastAsia="仿宋" w:cs="宋体"/>
          <w:b/>
          <w:bCs/>
          <w:sz w:val="24"/>
          <w:szCs w:val="28"/>
        </w:rPr>
        <w:t>4、网络安全培训</w:t>
      </w:r>
    </w:p>
    <w:p w14:paraId="025331A8">
      <w:pPr>
        <w:spacing w:line="360" w:lineRule="auto"/>
        <w:ind w:firstLine="480" w:firstLineChars="200"/>
        <w:rPr>
          <w:rFonts w:ascii="仿宋" w:hAnsi="仿宋" w:eastAsia="仿宋" w:cs="宋体"/>
          <w:sz w:val="24"/>
          <w:szCs w:val="28"/>
        </w:rPr>
      </w:pPr>
      <w:r>
        <w:rPr>
          <w:rFonts w:ascii="仿宋" w:hAnsi="仿宋" w:eastAsia="仿宋" w:cs="宋体"/>
          <w:sz w:val="24"/>
          <w:szCs w:val="28"/>
        </w:rPr>
        <w:t>通过对客户维护工作人员进行培训，使其深入掌握信息安全、网络安全的知识和理论。使其有能力制订完善的网络安全策略、实施完善的网络安全管理，保障网络系统正常运行</w:t>
      </w:r>
      <w:r>
        <w:rPr>
          <w:rFonts w:hint="eastAsia" w:ascii="仿宋" w:hAnsi="仿宋" w:eastAsia="仿宋" w:cs="宋体"/>
          <w:sz w:val="24"/>
          <w:szCs w:val="28"/>
        </w:rPr>
        <w:t>。并对中心网络安全宣传活动中组织、授课等给与指导和支持。</w:t>
      </w:r>
    </w:p>
    <w:p w14:paraId="4CA4ACC2">
      <w:pPr>
        <w:spacing w:line="360" w:lineRule="auto"/>
        <w:ind w:firstLine="482" w:firstLineChars="200"/>
        <w:rPr>
          <w:rFonts w:ascii="仿宋" w:hAnsi="仿宋" w:eastAsia="仿宋" w:cs="宋体"/>
          <w:b/>
          <w:bCs/>
          <w:sz w:val="24"/>
          <w:szCs w:val="28"/>
        </w:rPr>
      </w:pPr>
      <w:r>
        <w:rPr>
          <w:rFonts w:hint="eastAsia" w:ascii="仿宋" w:hAnsi="仿宋" w:eastAsia="仿宋" w:cs="宋体"/>
          <w:b/>
          <w:bCs/>
          <w:sz w:val="24"/>
          <w:szCs w:val="28"/>
        </w:rPr>
        <w:t>5、重大活动保障</w:t>
      </w:r>
    </w:p>
    <w:p w14:paraId="6D291195">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（1）重大活动保障，根据重大活动期间网络安全保障工作的要求，协助开展网络安全防护、监控、预警、通报、报告、分析研判等工作，确保活动期间的网络安全；</w:t>
      </w:r>
    </w:p>
    <w:p w14:paraId="2F815DC6">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 xml:space="preserve">（2）网络安全预案，通过对网络系统进行安全评估和管理现状调研，制定网络安全预案，并指导进行网络安全改进工作，切实保障网络系统的安全运行；                                </w:t>
      </w:r>
    </w:p>
    <w:p w14:paraId="71EEA952">
      <w:pPr>
        <w:spacing w:line="360" w:lineRule="auto"/>
        <w:ind w:firstLine="480" w:firstLineChars="200"/>
        <w:rPr>
          <w:rFonts w:ascii="仿宋" w:hAnsi="仿宋" w:eastAsia="仿宋" w:cs="宋体"/>
          <w:sz w:val="24"/>
          <w:szCs w:val="28"/>
        </w:rPr>
      </w:pPr>
      <w:r>
        <w:rPr>
          <w:rFonts w:ascii="仿宋" w:hAnsi="仿宋" w:eastAsia="仿宋" w:cs="宋体"/>
          <w:sz w:val="24"/>
          <w:szCs w:val="28"/>
        </w:rPr>
        <w:t>（</w:t>
      </w:r>
      <w:r>
        <w:rPr>
          <w:rFonts w:hint="eastAsia" w:ascii="仿宋" w:hAnsi="仿宋" w:eastAsia="仿宋" w:cs="宋体"/>
          <w:sz w:val="24"/>
          <w:szCs w:val="28"/>
        </w:rPr>
        <w:t>3</w:t>
      </w:r>
      <w:r>
        <w:rPr>
          <w:rFonts w:ascii="仿宋" w:hAnsi="仿宋" w:eastAsia="仿宋" w:cs="宋体"/>
          <w:sz w:val="24"/>
          <w:szCs w:val="28"/>
        </w:rPr>
        <w:t>）在重要会议或重大活动期间从网络层面、服务器层面、数据层面为用户构建全方面的重要敏感时期的安全保障服务。对网络和应用系统提前进行风险评估服务，包括资产持续监测、风险异常告警、漏洞 发现、可用性监测，并对发现的脆弱点进行安全风险评估。</w:t>
      </w:r>
    </w:p>
    <w:p w14:paraId="4677B60A">
      <w:pPr>
        <w:spacing w:line="360" w:lineRule="auto"/>
        <w:ind w:firstLine="482" w:firstLineChars="200"/>
        <w:rPr>
          <w:rFonts w:ascii="仿宋" w:hAnsi="仿宋" w:eastAsia="仿宋" w:cs="宋体"/>
          <w:b/>
          <w:bCs/>
          <w:sz w:val="24"/>
          <w:szCs w:val="28"/>
        </w:rPr>
      </w:pPr>
      <w:r>
        <w:rPr>
          <w:rFonts w:hint="eastAsia" w:ascii="仿宋" w:hAnsi="仿宋" w:eastAsia="仿宋" w:cs="宋体"/>
          <w:b/>
          <w:bCs/>
          <w:sz w:val="24"/>
          <w:szCs w:val="28"/>
        </w:rPr>
        <w:t>6、应急演练</w:t>
      </w:r>
    </w:p>
    <w:p w14:paraId="798F8568">
      <w:pPr>
        <w:spacing w:line="360" w:lineRule="auto"/>
        <w:ind w:firstLine="480" w:firstLineChars="200"/>
        <w:rPr>
          <w:rFonts w:ascii="仿宋" w:hAnsi="仿宋" w:eastAsia="仿宋" w:cs="宋体"/>
          <w:sz w:val="24"/>
          <w:szCs w:val="28"/>
        </w:rPr>
      </w:pPr>
      <w:r>
        <w:rPr>
          <w:rFonts w:ascii="仿宋" w:hAnsi="仿宋" w:eastAsia="仿宋" w:cs="宋体"/>
          <w:sz w:val="24"/>
          <w:szCs w:val="28"/>
        </w:rPr>
        <w:t>为保证甲方网络和信息系统的安全，防止外部敌对势力利用互联网对信息系统进行攻击或传播有害信息，提高处置突发信息安全事件的能力，将突发信息安全事件对业务运行造成的损失降至最小程度，切实制定可行的应急预案至关重要。通过应急预案演练，能够提高 甲方相关工作人员应对突发安全事件、快速高效的处理重大故障的能力，保证信息系统正常安全稳定的运行</w:t>
      </w:r>
      <w:r>
        <w:rPr>
          <w:rFonts w:hint="eastAsia" w:ascii="仿宋" w:hAnsi="仿宋" w:eastAsia="仿宋" w:cs="宋体"/>
          <w:sz w:val="24"/>
          <w:szCs w:val="28"/>
        </w:rPr>
        <w:t>。</w:t>
      </w:r>
    </w:p>
    <w:p w14:paraId="11FDD694">
      <w:pPr>
        <w:spacing w:line="360" w:lineRule="auto"/>
        <w:ind w:firstLine="482" w:firstLineChars="200"/>
        <w:rPr>
          <w:rFonts w:ascii="仿宋" w:hAnsi="仿宋" w:eastAsia="仿宋" w:cs="宋体"/>
          <w:b/>
          <w:bCs/>
          <w:sz w:val="24"/>
          <w:szCs w:val="28"/>
        </w:rPr>
      </w:pPr>
      <w:r>
        <w:rPr>
          <w:rFonts w:hint="eastAsia" w:ascii="仿宋" w:hAnsi="仿宋" w:eastAsia="仿宋" w:cs="宋体"/>
          <w:b/>
          <w:bCs/>
          <w:sz w:val="24"/>
          <w:szCs w:val="28"/>
        </w:rPr>
        <w:t>四、项目安全服务保密要求</w:t>
      </w:r>
    </w:p>
    <w:p w14:paraId="521D9F8A">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14:paraId="557E5EAD">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运维过程中获得的项目相关信息承担保密责任，对项目实施过程中涉及的敏感信息严格遵循《中华人民共和国保守国家秘密法》相关要求进行保护，因中标人造成泄密、网络与信息安全问题的，由中标人承担所有责任。</w:t>
      </w:r>
    </w:p>
    <w:p w14:paraId="6C03021D">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14:paraId="4A75089F">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14:paraId="06D89FCB">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14:paraId="3F76F507">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14:paraId="51A2F5EB">
      <w:pPr>
        <w:spacing w:line="360" w:lineRule="auto"/>
        <w:ind w:firstLine="482" w:firstLineChars="200"/>
        <w:rPr>
          <w:rFonts w:ascii="仿宋" w:hAnsi="仿宋" w:eastAsia="仿宋" w:cs="宋体"/>
          <w:b/>
          <w:bCs/>
          <w:sz w:val="24"/>
          <w:szCs w:val="28"/>
        </w:rPr>
      </w:pPr>
      <w:r>
        <w:rPr>
          <w:rFonts w:hint="eastAsia" w:ascii="仿宋" w:hAnsi="仿宋" w:eastAsia="仿宋" w:cs="宋体"/>
          <w:b/>
          <w:bCs/>
          <w:sz w:val="24"/>
          <w:szCs w:val="28"/>
        </w:rPr>
        <w:t>五、付款条件</w:t>
      </w:r>
    </w:p>
    <w:p w14:paraId="73C1132E">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付款方式：签订合同支付合同款的5</w:t>
      </w:r>
      <w:r>
        <w:rPr>
          <w:rFonts w:ascii="仿宋" w:hAnsi="仿宋" w:eastAsia="仿宋" w:cs="宋体"/>
          <w:sz w:val="24"/>
          <w:szCs w:val="28"/>
        </w:rPr>
        <w:t>0%</w:t>
      </w:r>
      <w:r>
        <w:rPr>
          <w:rFonts w:hint="eastAsia" w:ascii="仿宋" w:hAnsi="仿宋" w:eastAsia="仿宋" w:cs="宋体"/>
          <w:sz w:val="24"/>
          <w:szCs w:val="28"/>
        </w:rPr>
        <w:t>，运维服务期满，甲方验收合格后支付合同款的5</w:t>
      </w:r>
      <w:r>
        <w:rPr>
          <w:rFonts w:ascii="仿宋" w:hAnsi="仿宋" w:eastAsia="仿宋" w:cs="宋体"/>
          <w:sz w:val="24"/>
          <w:szCs w:val="28"/>
        </w:rPr>
        <w:t>0%</w:t>
      </w:r>
      <w:r>
        <w:rPr>
          <w:rFonts w:hint="eastAsia" w:ascii="仿宋" w:hAnsi="仿宋" w:eastAsia="仿宋" w:cs="宋体"/>
          <w:sz w:val="24"/>
          <w:szCs w:val="28"/>
        </w:rPr>
        <w:t>。乙方开具发票，甲方收到发票后30日内支付。</w:t>
      </w:r>
    </w:p>
    <w:p w14:paraId="5109D19B">
      <w:pPr>
        <w:spacing w:line="360" w:lineRule="auto"/>
        <w:ind w:firstLine="480" w:firstLineChars="200"/>
        <w:rPr>
          <w:rFonts w:ascii="仿宋" w:hAnsi="仿宋" w:eastAsia="仿宋" w:cs="宋体"/>
          <w:sz w:val="24"/>
          <w:szCs w:val="28"/>
        </w:rPr>
      </w:pPr>
    </w:p>
    <w:p w14:paraId="00BB17EE">
      <w:pPr>
        <w:widowControl/>
        <w:spacing w:line="360" w:lineRule="auto"/>
        <w:ind w:firstLine="480" w:firstLineChars="200"/>
        <w:jc w:val="left"/>
        <w:rPr>
          <w:rFonts w:ascii="仿宋" w:hAnsi="仿宋" w:eastAsia="仿宋" w:cs="宋体"/>
          <w:sz w:val="24"/>
          <w:szCs w:val="28"/>
        </w:rPr>
      </w:pPr>
    </w:p>
    <w:p w14:paraId="2491B92A">
      <w:pPr>
        <w:widowControl/>
        <w:spacing w:line="360" w:lineRule="auto"/>
        <w:ind w:firstLine="480" w:firstLineChars="200"/>
        <w:jc w:val="left"/>
        <w:rPr>
          <w:rFonts w:ascii="仿宋" w:hAnsi="仿宋" w:eastAsia="仿宋" w:cs="宋体"/>
          <w:sz w:val="24"/>
          <w:szCs w:val="28"/>
        </w:rPr>
      </w:pPr>
    </w:p>
    <w:p w14:paraId="0579407A">
      <w:pPr>
        <w:widowControl/>
        <w:spacing w:line="360" w:lineRule="auto"/>
        <w:ind w:firstLine="480" w:firstLineChars="200"/>
        <w:jc w:val="left"/>
        <w:rPr>
          <w:rFonts w:ascii="仿宋" w:hAnsi="仿宋" w:eastAsia="仿宋" w:cs="宋体"/>
          <w:sz w:val="24"/>
          <w:szCs w:val="28"/>
        </w:rPr>
      </w:pPr>
    </w:p>
    <w:p w14:paraId="17AB3A7D">
      <w:pPr>
        <w:widowControl/>
        <w:spacing w:line="360" w:lineRule="auto"/>
        <w:ind w:firstLine="480" w:firstLineChars="200"/>
        <w:jc w:val="left"/>
        <w:rPr>
          <w:rFonts w:ascii="仿宋" w:hAnsi="仿宋" w:eastAsia="仿宋" w:cs="宋体"/>
          <w:sz w:val="24"/>
          <w:szCs w:val="28"/>
        </w:rPr>
      </w:pPr>
    </w:p>
    <w:p w14:paraId="1EEF850C">
      <w:pPr>
        <w:widowControl/>
        <w:spacing w:line="360" w:lineRule="auto"/>
        <w:ind w:firstLine="480" w:firstLineChars="200"/>
        <w:jc w:val="left"/>
        <w:rPr>
          <w:rFonts w:ascii="仿宋" w:hAnsi="仿宋" w:eastAsia="仿宋" w:cs="宋体"/>
          <w:sz w:val="24"/>
          <w:szCs w:val="28"/>
        </w:rPr>
      </w:pPr>
    </w:p>
    <w:p w14:paraId="65CFDEF5">
      <w:pPr>
        <w:widowControl/>
        <w:spacing w:line="360" w:lineRule="auto"/>
        <w:ind w:firstLine="480" w:firstLineChars="200"/>
        <w:jc w:val="left"/>
        <w:rPr>
          <w:rFonts w:ascii="仿宋" w:hAnsi="仿宋" w:eastAsia="仿宋" w:cs="宋体"/>
          <w:sz w:val="24"/>
          <w:szCs w:val="28"/>
        </w:rPr>
      </w:pPr>
    </w:p>
    <w:p w14:paraId="72A94B09">
      <w:pPr>
        <w:widowControl/>
        <w:spacing w:line="360" w:lineRule="auto"/>
        <w:ind w:firstLine="480" w:firstLineChars="200"/>
        <w:jc w:val="left"/>
        <w:rPr>
          <w:rFonts w:ascii="仿宋" w:hAnsi="仿宋" w:eastAsia="仿宋" w:cs="宋体"/>
          <w:sz w:val="24"/>
          <w:szCs w:val="28"/>
        </w:rPr>
      </w:pPr>
    </w:p>
    <w:p w14:paraId="63B07B53">
      <w:pPr>
        <w:widowControl/>
        <w:spacing w:line="360" w:lineRule="auto"/>
        <w:ind w:firstLine="480" w:firstLineChars="200"/>
        <w:jc w:val="left"/>
        <w:rPr>
          <w:rFonts w:ascii="仿宋" w:hAnsi="仿宋" w:eastAsia="仿宋" w:cs="宋体"/>
          <w:sz w:val="24"/>
          <w:szCs w:val="28"/>
        </w:rPr>
      </w:pPr>
    </w:p>
    <w:p w14:paraId="0477FE17">
      <w:pPr>
        <w:widowControl/>
        <w:spacing w:line="360" w:lineRule="auto"/>
        <w:ind w:firstLine="480" w:firstLineChars="200"/>
        <w:jc w:val="left"/>
        <w:rPr>
          <w:rFonts w:ascii="仿宋" w:hAnsi="仿宋" w:eastAsia="仿宋" w:cs="宋体"/>
          <w:sz w:val="24"/>
          <w:szCs w:val="28"/>
        </w:rPr>
      </w:pPr>
    </w:p>
    <w:p w14:paraId="0A5B7128">
      <w:pPr>
        <w:widowControl/>
        <w:spacing w:line="360" w:lineRule="auto"/>
        <w:ind w:firstLine="480" w:firstLineChars="200"/>
        <w:jc w:val="left"/>
        <w:rPr>
          <w:rFonts w:ascii="仿宋" w:hAnsi="仿宋" w:eastAsia="仿宋" w:cs="宋体"/>
          <w:sz w:val="24"/>
          <w:szCs w:val="28"/>
        </w:rPr>
      </w:pPr>
    </w:p>
    <w:p w14:paraId="7110B2DE">
      <w:pPr>
        <w:widowControl/>
        <w:spacing w:line="360" w:lineRule="auto"/>
        <w:ind w:firstLine="480" w:firstLineChars="200"/>
        <w:jc w:val="left"/>
        <w:rPr>
          <w:rFonts w:ascii="仿宋" w:hAnsi="仿宋" w:eastAsia="仿宋" w:cs="宋体"/>
          <w:sz w:val="24"/>
          <w:szCs w:val="28"/>
        </w:rPr>
      </w:pPr>
    </w:p>
    <w:p w14:paraId="28AAD65A">
      <w:pPr>
        <w:widowControl/>
        <w:spacing w:line="360" w:lineRule="auto"/>
        <w:ind w:firstLine="480" w:firstLineChars="200"/>
        <w:jc w:val="left"/>
        <w:rPr>
          <w:rFonts w:ascii="仿宋" w:hAnsi="仿宋" w:eastAsia="仿宋" w:cs="宋体"/>
          <w:sz w:val="24"/>
          <w:szCs w:val="28"/>
        </w:rPr>
      </w:pPr>
    </w:p>
    <w:p w14:paraId="3CEDFD28">
      <w:pPr>
        <w:widowControl/>
        <w:spacing w:line="360" w:lineRule="auto"/>
        <w:ind w:firstLine="480" w:firstLineChars="200"/>
        <w:jc w:val="left"/>
        <w:rPr>
          <w:rFonts w:ascii="仿宋" w:hAnsi="仿宋" w:eastAsia="仿宋" w:cs="宋体"/>
          <w:sz w:val="24"/>
          <w:szCs w:val="28"/>
        </w:rPr>
      </w:pPr>
    </w:p>
    <w:p w14:paraId="1115C5CB">
      <w:pPr>
        <w:widowControl/>
        <w:spacing w:line="360" w:lineRule="auto"/>
        <w:ind w:firstLine="480" w:firstLineChars="200"/>
        <w:jc w:val="left"/>
        <w:rPr>
          <w:rFonts w:ascii="仿宋" w:hAnsi="仿宋" w:eastAsia="仿宋" w:cs="宋体"/>
          <w:sz w:val="24"/>
          <w:szCs w:val="28"/>
        </w:rPr>
      </w:pPr>
    </w:p>
    <w:p w14:paraId="0B51C38F">
      <w:pPr>
        <w:widowControl/>
        <w:spacing w:line="360" w:lineRule="auto"/>
        <w:ind w:firstLine="480" w:firstLineChars="200"/>
        <w:jc w:val="left"/>
        <w:rPr>
          <w:rFonts w:ascii="仿宋" w:hAnsi="仿宋" w:eastAsia="仿宋" w:cs="宋体"/>
          <w:sz w:val="24"/>
          <w:szCs w:val="28"/>
        </w:rPr>
      </w:pPr>
    </w:p>
    <w:p w14:paraId="5AC7EB03">
      <w:pPr>
        <w:widowControl/>
        <w:spacing w:line="360" w:lineRule="auto"/>
        <w:ind w:firstLine="480" w:firstLineChars="200"/>
        <w:jc w:val="left"/>
        <w:rPr>
          <w:rFonts w:ascii="仿宋" w:hAnsi="仿宋" w:eastAsia="仿宋" w:cs="宋体"/>
          <w:sz w:val="24"/>
          <w:szCs w:val="28"/>
        </w:rPr>
      </w:pPr>
    </w:p>
    <w:p w14:paraId="428FB66B">
      <w:pPr>
        <w:widowControl/>
        <w:spacing w:line="360" w:lineRule="auto"/>
        <w:ind w:firstLine="480" w:firstLineChars="200"/>
        <w:jc w:val="left"/>
        <w:rPr>
          <w:rFonts w:ascii="仿宋" w:hAnsi="仿宋" w:eastAsia="仿宋" w:cs="宋体"/>
          <w:sz w:val="24"/>
          <w:szCs w:val="28"/>
        </w:rPr>
      </w:pPr>
    </w:p>
    <w:p w14:paraId="7818C9D5">
      <w:pPr>
        <w:widowControl/>
        <w:spacing w:line="360" w:lineRule="auto"/>
        <w:ind w:firstLine="480" w:firstLineChars="200"/>
        <w:jc w:val="left"/>
        <w:rPr>
          <w:rFonts w:ascii="仿宋" w:hAnsi="仿宋" w:eastAsia="仿宋" w:cs="宋体"/>
          <w:sz w:val="24"/>
          <w:szCs w:val="28"/>
        </w:rPr>
      </w:pPr>
    </w:p>
    <w:p w14:paraId="3827C1BC">
      <w:pPr>
        <w:widowControl/>
        <w:spacing w:line="360" w:lineRule="auto"/>
        <w:ind w:firstLine="480" w:firstLineChars="200"/>
        <w:jc w:val="left"/>
        <w:rPr>
          <w:rFonts w:ascii="仿宋" w:hAnsi="仿宋" w:eastAsia="仿宋" w:cs="宋体"/>
          <w:sz w:val="24"/>
          <w:szCs w:val="28"/>
        </w:rPr>
      </w:pPr>
    </w:p>
    <w:p w14:paraId="7FFC8438">
      <w:pPr>
        <w:widowControl/>
        <w:spacing w:line="360" w:lineRule="auto"/>
        <w:ind w:firstLine="480" w:firstLineChars="200"/>
        <w:jc w:val="left"/>
        <w:rPr>
          <w:rFonts w:ascii="仿宋" w:hAnsi="仿宋" w:eastAsia="仿宋" w:cs="宋体"/>
          <w:sz w:val="24"/>
          <w:szCs w:val="28"/>
        </w:rPr>
      </w:pPr>
    </w:p>
    <w:p w14:paraId="7CBCA18C">
      <w:pPr>
        <w:widowControl/>
        <w:spacing w:line="360" w:lineRule="auto"/>
        <w:ind w:firstLine="480" w:firstLineChars="200"/>
        <w:jc w:val="left"/>
        <w:rPr>
          <w:rFonts w:ascii="仿宋" w:hAnsi="仿宋" w:eastAsia="仿宋" w:cs="宋体"/>
          <w:sz w:val="24"/>
          <w:szCs w:val="28"/>
        </w:rPr>
      </w:pPr>
    </w:p>
    <w:p w14:paraId="1E560908">
      <w:pPr>
        <w:widowControl/>
        <w:spacing w:line="360" w:lineRule="auto"/>
        <w:jc w:val="left"/>
        <w:rPr>
          <w:rFonts w:ascii="仿宋" w:hAnsi="仿宋" w:eastAsia="仿宋" w:cs="宋体"/>
          <w:sz w:val="24"/>
          <w:szCs w:val="28"/>
        </w:rPr>
      </w:pPr>
    </w:p>
    <w:p w14:paraId="65A5296F">
      <w:pPr>
        <w:widowControl/>
        <w:spacing w:line="360" w:lineRule="auto"/>
        <w:ind w:firstLine="480" w:firstLineChars="200"/>
        <w:jc w:val="left"/>
        <w:rPr>
          <w:rFonts w:ascii="仿宋" w:hAnsi="仿宋" w:eastAsia="仿宋" w:cs="宋体"/>
          <w:sz w:val="24"/>
          <w:szCs w:val="28"/>
        </w:rPr>
      </w:pPr>
    </w:p>
    <w:p w14:paraId="0C3363A4">
      <w:pPr>
        <w:jc w:val="center"/>
      </w:pPr>
      <w:r>
        <w:rPr>
          <w:rFonts w:hint="eastAsia" w:ascii="宋体" w:hAnsi="宋体" w:cs="宋体"/>
          <w:color w:val="000000"/>
          <w:kern w:val="0"/>
          <w:sz w:val="84"/>
          <w:szCs w:val="84"/>
        </w:rPr>
        <w:t>投标文件</w:t>
      </w:r>
    </w:p>
    <w:p w14:paraId="2A8235AA">
      <w:pPr>
        <w:widowControl/>
        <w:jc w:val="center"/>
      </w:pPr>
      <w:r>
        <w:rPr>
          <w:rFonts w:hint="eastAsia" w:ascii="宋体" w:hAnsi="宋体" w:cs="宋体"/>
          <w:color w:val="000000"/>
          <w:kern w:val="0"/>
          <w:sz w:val="43"/>
          <w:szCs w:val="43"/>
        </w:rPr>
        <w:t>【正/副本】</w:t>
      </w:r>
    </w:p>
    <w:p w14:paraId="60517F3E">
      <w:pPr>
        <w:widowControl/>
        <w:jc w:val="left"/>
        <w:rPr>
          <w:rFonts w:ascii="黑体" w:hAnsi="宋体" w:eastAsia="黑体" w:cs="黑体"/>
          <w:color w:val="000000"/>
          <w:kern w:val="0"/>
          <w:sz w:val="28"/>
          <w:szCs w:val="28"/>
        </w:rPr>
      </w:pPr>
    </w:p>
    <w:p w14:paraId="318B481D">
      <w:pPr>
        <w:widowControl/>
        <w:jc w:val="left"/>
        <w:rPr>
          <w:rFonts w:ascii="黑体" w:hAnsi="宋体" w:eastAsia="黑体" w:cs="黑体"/>
          <w:color w:val="000000"/>
          <w:kern w:val="0"/>
          <w:sz w:val="28"/>
          <w:szCs w:val="28"/>
        </w:rPr>
      </w:pPr>
    </w:p>
    <w:p w14:paraId="475A4B2A">
      <w:pPr>
        <w:widowControl/>
        <w:jc w:val="center"/>
      </w:pPr>
      <w:r>
        <w:rPr>
          <w:rFonts w:hint="eastAsia" w:ascii="黑体" w:hAnsi="宋体" w:eastAsia="黑体" w:cs="黑体"/>
          <w:color w:val="000000"/>
          <w:kern w:val="0"/>
          <w:sz w:val="28"/>
          <w:szCs w:val="28"/>
        </w:rPr>
        <w:t>（项目名称）</w:t>
      </w:r>
    </w:p>
    <w:p w14:paraId="6E0260CC">
      <w:pPr>
        <w:widowControl/>
        <w:jc w:val="left"/>
      </w:pPr>
    </w:p>
    <w:p w14:paraId="6C486A71">
      <w:pPr>
        <w:pStyle w:val="26"/>
        <w:ind w:firstLine="420"/>
        <w:rPr>
          <w:lang w:val="en-US"/>
        </w:rPr>
      </w:pPr>
    </w:p>
    <w:p w14:paraId="31286677">
      <w:pPr>
        <w:pStyle w:val="26"/>
        <w:ind w:firstLine="420"/>
        <w:rPr>
          <w:lang w:val="en-US"/>
        </w:rPr>
      </w:pPr>
    </w:p>
    <w:p w14:paraId="75EFAEFB">
      <w:pPr>
        <w:pStyle w:val="26"/>
        <w:ind w:firstLine="420"/>
        <w:rPr>
          <w:lang w:val="en-US"/>
        </w:rPr>
      </w:pPr>
    </w:p>
    <w:p w14:paraId="0718C587">
      <w:pPr>
        <w:pStyle w:val="26"/>
        <w:ind w:firstLine="420"/>
        <w:rPr>
          <w:lang w:val="en-US"/>
        </w:rPr>
      </w:pPr>
    </w:p>
    <w:p w14:paraId="5C5E86B6">
      <w:pPr>
        <w:pStyle w:val="26"/>
        <w:ind w:firstLine="420"/>
        <w:rPr>
          <w:lang w:val="en-US"/>
        </w:rPr>
      </w:pPr>
    </w:p>
    <w:p w14:paraId="3162D693">
      <w:pPr>
        <w:pStyle w:val="26"/>
        <w:ind w:firstLine="420"/>
        <w:rPr>
          <w:lang w:val="en-US"/>
        </w:rPr>
      </w:pPr>
    </w:p>
    <w:p w14:paraId="37CE92CE">
      <w:pPr>
        <w:pStyle w:val="26"/>
        <w:ind w:firstLine="420"/>
        <w:rPr>
          <w:lang w:val="en-US"/>
        </w:rPr>
      </w:pPr>
    </w:p>
    <w:p w14:paraId="0AE2B4AB">
      <w:pPr>
        <w:pStyle w:val="26"/>
        <w:ind w:firstLine="420"/>
        <w:rPr>
          <w:lang w:val="en-US"/>
        </w:rPr>
      </w:pPr>
    </w:p>
    <w:p w14:paraId="3639B0B4">
      <w:pPr>
        <w:pStyle w:val="26"/>
        <w:ind w:firstLine="420"/>
        <w:rPr>
          <w:lang w:val="en-US"/>
        </w:rPr>
      </w:pPr>
    </w:p>
    <w:p w14:paraId="5E3CC626">
      <w:pPr>
        <w:pStyle w:val="26"/>
        <w:ind w:firstLine="420"/>
        <w:rPr>
          <w:lang w:val="en-US"/>
        </w:rPr>
      </w:pPr>
    </w:p>
    <w:p w14:paraId="5C8A9B0F">
      <w:pPr>
        <w:pStyle w:val="26"/>
        <w:ind w:firstLine="420"/>
        <w:rPr>
          <w:lang w:val="en-US"/>
        </w:rPr>
      </w:pPr>
    </w:p>
    <w:p w14:paraId="4C6B86EF">
      <w:pPr>
        <w:widowControl/>
        <w:jc w:val="center"/>
      </w:pPr>
      <w:r>
        <w:rPr>
          <w:rFonts w:hint="eastAsia" w:ascii="黑体" w:hAnsi="宋体" w:eastAsia="黑体" w:cs="黑体"/>
          <w:color w:val="000000"/>
          <w:kern w:val="0"/>
          <w:sz w:val="28"/>
          <w:szCs w:val="28"/>
        </w:rPr>
        <w:t>供应商：（盖单位章）</w:t>
      </w:r>
    </w:p>
    <w:p w14:paraId="54245BA9">
      <w:pPr>
        <w:widowControl/>
        <w:jc w:val="center"/>
      </w:pPr>
      <w:r>
        <w:rPr>
          <w:rFonts w:hint="eastAsia" w:ascii="黑体" w:hAnsi="宋体" w:eastAsia="黑体" w:cs="黑体"/>
          <w:color w:val="000000"/>
          <w:kern w:val="0"/>
          <w:sz w:val="28"/>
          <w:szCs w:val="28"/>
        </w:rPr>
        <w:t>法定代表人或其委托代理人：（签字）</w:t>
      </w:r>
    </w:p>
    <w:p w14:paraId="11DD3E42">
      <w:pPr>
        <w:widowControl/>
        <w:ind w:firstLine="3640" w:firstLineChars="1300"/>
        <w:jc w:val="left"/>
        <w:rPr>
          <w:rFonts w:ascii="黑体" w:hAnsi="宋体" w:eastAsia="黑体" w:cs="黑体"/>
          <w:color w:val="000000"/>
          <w:kern w:val="0"/>
          <w:sz w:val="28"/>
          <w:szCs w:val="28"/>
        </w:rPr>
      </w:pPr>
    </w:p>
    <w:p w14:paraId="6FAA37F9">
      <w:pPr>
        <w:widowControl/>
        <w:ind w:firstLine="3640" w:firstLineChars="1300"/>
        <w:jc w:val="left"/>
        <w:rPr>
          <w:rFonts w:ascii="黑体" w:hAnsi="宋体" w:eastAsia="黑体" w:cs="黑体"/>
          <w:color w:val="000000"/>
          <w:kern w:val="0"/>
          <w:sz w:val="28"/>
          <w:szCs w:val="28"/>
        </w:rPr>
      </w:pPr>
    </w:p>
    <w:p w14:paraId="70324F07">
      <w:pPr>
        <w:widowControl/>
        <w:ind w:firstLine="3640" w:firstLineChars="1300"/>
        <w:jc w:val="left"/>
        <w:rPr>
          <w:rFonts w:ascii="黑体" w:hAnsi="宋体" w:eastAsia="黑体" w:cs="黑体"/>
          <w:color w:val="000000"/>
          <w:kern w:val="0"/>
          <w:sz w:val="28"/>
          <w:szCs w:val="28"/>
        </w:rPr>
      </w:pPr>
    </w:p>
    <w:p w14:paraId="550EBE3F">
      <w:pPr>
        <w:widowControl/>
        <w:ind w:firstLine="3640" w:firstLineChars="1300"/>
        <w:jc w:val="left"/>
        <w:rPr>
          <w:rFonts w:ascii="黑体" w:hAnsi="宋体" w:eastAsia="黑体" w:cs="黑体"/>
          <w:color w:val="000000"/>
          <w:kern w:val="0"/>
          <w:sz w:val="28"/>
          <w:szCs w:val="28"/>
        </w:rPr>
      </w:pPr>
    </w:p>
    <w:p w14:paraId="31A556B9">
      <w:pPr>
        <w:widowControl/>
        <w:ind w:firstLine="3640" w:firstLineChars="1300"/>
        <w:jc w:val="left"/>
        <w:rPr>
          <w:rFonts w:ascii="黑体" w:hAnsi="宋体" w:eastAsia="黑体" w:cs="黑体"/>
          <w:color w:val="000000"/>
          <w:kern w:val="0"/>
          <w:sz w:val="28"/>
          <w:szCs w:val="28"/>
        </w:rPr>
      </w:pPr>
    </w:p>
    <w:p w14:paraId="2EFCB6E6">
      <w:pPr>
        <w:widowControl/>
        <w:ind w:firstLine="3640" w:firstLineChars="1300"/>
        <w:jc w:val="left"/>
        <w:rPr>
          <w:rFonts w:ascii="黑体" w:hAnsi="宋体" w:eastAsia="黑体" w:cs="黑体"/>
          <w:color w:val="000000"/>
          <w:kern w:val="0"/>
          <w:sz w:val="28"/>
          <w:szCs w:val="28"/>
        </w:rPr>
      </w:pPr>
    </w:p>
    <w:p w14:paraId="3001582B">
      <w:pPr>
        <w:widowControl/>
        <w:ind w:firstLine="3640" w:firstLineChars="1300"/>
        <w:jc w:val="left"/>
        <w:rPr>
          <w:rFonts w:ascii="黑体" w:hAnsi="宋体" w:eastAsia="黑体" w:cs="黑体"/>
          <w:color w:val="000000"/>
          <w:kern w:val="0"/>
          <w:sz w:val="28"/>
          <w:szCs w:val="28"/>
        </w:rPr>
      </w:pPr>
    </w:p>
    <w:p w14:paraId="3EA02F74">
      <w:pPr>
        <w:widowControl/>
        <w:jc w:val="left"/>
        <w:rPr>
          <w:rFonts w:ascii="黑体" w:hAnsi="宋体" w:eastAsia="黑体" w:cs="黑体"/>
          <w:color w:val="000000"/>
          <w:kern w:val="0"/>
          <w:sz w:val="28"/>
          <w:szCs w:val="28"/>
        </w:rPr>
      </w:pPr>
    </w:p>
    <w:p w14:paraId="22495A12">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731131B6">
      <w:pPr>
        <w:widowControl/>
        <w:ind w:firstLine="3640" w:firstLineChars="1300"/>
        <w:jc w:val="left"/>
      </w:pPr>
      <w:r>
        <w:rPr>
          <w:rFonts w:hint="eastAsia" w:ascii="黑体" w:hAnsi="宋体" w:eastAsia="黑体" w:cs="黑体"/>
          <w:color w:val="000000"/>
          <w:kern w:val="0"/>
          <w:sz w:val="28"/>
          <w:szCs w:val="28"/>
        </w:rPr>
        <w:t xml:space="preserve">目录 </w:t>
      </w:r>
    </w:p>
    <w:p w14:paraId="75AD16C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0C4F3C97">
      <w:pPr>
        <w:spacing w:line="440" w:lineRule="exact"/>
        <w:rPr>
          <w:rFonts w:ascii="宋体" w:hAnsi="宋体"/>
          <w:kern w:val="0"/>
        </w:rPr>
      </w:pPr>
      <w:r>
        <w:rPr>
          <w:rFonts w:hint="eastAsia" w:ascii="宋体" w:hAnsi="宋体"/>
          <w:b/>
          <w:bCs/>
          <w:kern w:val="0"/>
        </w:rPr>
        <w:t>附件一、投标申请及声明格式</w:t>
      </w:r>
    </w:p>
    <w:p w14:paraId="56D4292C">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243C5F4B">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3B207FB6">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8D03D2F">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17C82CA3">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756526A7">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4488D2C6">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500AC461">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481C9DE5">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0CE2402C">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5EC493A0">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36605172">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821409B">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EB84B02">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1F225742">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037A360E">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278579C">
      <w:pPr>
        <w:widowControl/>
        <w:shd w:val="clear" w:color="auto" w:fill="FFFFFF"/>
        <w:spacing w:line="360" w:lineRule="auto"/>
        <w:ind w:firstLine="420"/>
        <w:rPr>
          <w:rFonts w:ascii="宋体" w:hAnsi="宋体"/>
          <w:kern w:val="0"/>
        </w:rPr>
      </w:pPr>
      <w:r>
        <w:rPr>
          <w:rFonts w:hint="eastAsia" w:ascii="宋体" w:hAnsi="宋体"/>
          <w:kern w:val="0"/>
        </w:rPr>
        <w:t>开户银行：</w:t>
      </w:r>
    </w:p>
    <w:p w14:paraId="5DC5A8B4">
      <w:pPr>
        <w:widowControl/>
        <w:shd w:val="clear" w:color="auto" w:fill="FFFFFF"/>
        <w:spacing w:line="360" w:lineRule="auto"/>
        <w:ind w:firstLine="420"/>
        <w:rPr>
          <w:rFonts w:ascii="宋体" w:hAnsi="宋体"/>
          <w:kern w:val="0"/>
        </w:rPr>
      </w:pPr>
      <w:r>
        <w:rPr>
          <w:rFonts w:hint="eastAsia" w:ascii="宋体" w:hAnsi="宋体"/>
          <w:kern w:val="0"/>
        </w:rPr>
        <w:t>银行账号：</w:t>
      </w:r>
    </w:p>
    <w:p w14:paraId="02E5E19B">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480CA41E">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2800DE35">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4459506D">
      <w:pPr>
        <w:widowControl/>
        <w:jc w:val="left"/>
        <w:rPr>
          <w:rFonts w:ascii="宋体" w:hAnsi="宋体" w:cs="宋体"/>
          <w:b/>
          <w:color w:val="000000"/>
          <w:kern w:val="0"/>
        </w:rPr>
      </w:pPr>
      <w:r>
        <w:rPr>
          <w:rFonts w:ascii="宋体" w:hAnsi="宋体"/>
          <w:b/>
          <w:bCs/>
          <w:kern w:val="0"/>
        </w:rPr>
        <w:br w:type="page"/>
      </w:r>
    </w:p>
    <w:p w14:paraId="316F2FC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1188B864">
      <w:pPr>
        <w:widowControl/>
        <w:jc w:val="center"/>
      </w:pPr>
      <w:r>
        <w:rPr>
          <w:rFonts w:hint="eastAsia" w:ascii="宋体" w:hAnsi="宋体" w:cs="宋体"/>
          <w:b/>
          <w:bCs/>
          <w:color w:val="000000"/>
          <w:kern w:val="0"/>
          <w:sz w:val="28"/>
          <w:szCs w:val="28"/>
        </w:rPr>
        <w:t>法定代表人授权委托书</w:t>
      </w:r>
    </w:p>
    <w:p w14:paraId="451698A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0EEB7E6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7B5D550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4693503F">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1C7A59F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1CDAA48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0AE6F80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59C52F3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7CB0CCDB">
      <w:pPr>
        <w:widowControl/>
        <w:jc w:val="left"/>
        <w:rPr>
          <w:rFonts w:ascii="宋体" w:hAnsi="宋体" w:cs="宋体"/>
          <w:b/>
          <w:color w:val="000000"/>
          <w:kern w:val="0"/>
        </w:rPr>
      </w:pPr>
    </w:p>
    <w:p w14:paraId="25AFEE23">
      <w:pPr>
        <w:widowControl/>
        <w:jc w:val="left"/>
        <w:rPr>
          <w:rFonts w:ascii="宋体" w:hAnsi="宋体" w:cs="宋体"/>
          <w:b/>
          <w:color w:val="000000"/>
          <w:kern w:val="0"/>
        </w:rPr>
      </w:pPr>
    </w:p>
    <w:p w14:paraId="694F82DD">
      <w:pPr>
        <w:widowControl/>
        <w:jc w:val="left"/>
        <w:rPr>
          <w:rFonts w:ascii="宋体" w:hAnsi="宋体" w:cs="宋体"/>
          <w:b/>
          <w:color w:val="000000"/>
          <w:kern w:val="0"/>
        </w:rPr>
      </w:pPr>
    </w:p>
    <w:p w14:paraId="2A5C436F">
      <w:pPr>
        <w:widowControl/>
        <w:jc w:val="left"/>
        <w:rPr>
          <w:rFonts w:ascii="宋体" w:hAnsi="宋体" w:cs="宋体"/>
          <w:b/>
          <w:bCs/>
          <w:color w:val="000000"/>
          <w:kern w:val="0"/>
          <w:sz w:val="28"/>
          <w:szCs w:val="28"/>
        </w:rPr>
      </w:pPr>
    </w:p>
    <w:p w14:paraId="3093C96D">
      <w:pPr>
        <w:widowControl/>
        <w:jc w:val="left"/>
        <w:rPr>
          <w:rFonts w:ascii="宋体" w:hAnsi="宋体" w:cs="宋体"/>
          <w:b/>
          <w:bCs/>
          <w:color w:val="000000"/>
          <w:kern w:val="0"/>
          <w:sz w:val="28"/>
          <w:szCs w:val="28"/>
        </w:rPr>
      </w:pPr>
    </w:p>
    <w:p w14:paraId="30A314BE">
      <w:pPr>
        <w:widowControl/>
        <w:jc w:val="left"/>
        <w:rPr>
          <w:rFonts w:ascii="宋体" w:hAnsi="宋体" w:cs="宋体"/>
          <w:b/>
          <w:bCs/>
          <w:color w:val="000000"/>
          <w:kern w:val="0"/>
          <w:sz w:val="28"/>
          <w:szCs w:val="28"/>
        </w:rPr>
      </w:pPr>
    </w:p>
    <w:p w14:paraId="7B5F9510">
      <w:pPr>
        <w:widowControl/>
        <w:jc w:val="left"/>
        <w:rPr>
          <w:rFonts w:ascii="宋体" w:hAnsi="宋体" w:cs="宋体"/>
          <w:b/>
          <w:bCs/>
          <w:color w:val="000000"/>
          <w:kern w:val="0"/>
          <w:sz w:val="28"/>
          <w:szCs w:val="28"/>
        </w:rPr>
      </w:pPr>
    </w:p>
    <w:p w14:paraId="1CE67110">
      <w:pPr>
        <w:widowControl/>
        <w:jc w:val="left"/>
        <w:rPr>
          <w:rFonts w:ascii="宋体" w:hAnsi="宋体" w:cs="宋体"/>
          <w:b/>
          <w:bCs/>
          <w:color w:val="000000"/>
          <w:kern w:val="0"/>
          <w:sz w:val="28"/>
          <w:szCs w:val="28"/>
        </w:rPr>
      </w:pPr>
    </w:p>
    <w:p w14:paraId="4F8C3C2B">
      <w:pPr>
        <w:widowControl/>
        <w:jc w:val="left"/>
        <w:rPr>
          <w:rFonts w:ascii="宋体" w:hAnsi="宋体" w:cs="宋体"/>
          <w:b/>
          <w:bCs/>
          <w:color w:val="000000"/>
          <w:kern w:val="0"/>
          <w:sz w:val="28"/>
          <w:szCs w:val="28"/>
        </w:rPr>
      </w:pPr>
    </w:p>
    <w:p w14:paraId="51ED10CA">
      <w:pPr>
        <w:widowControl/>
        <w:jc w:val="left"/>
        <w:rPr>
          <w:rFonts w:ascii="宋体" w:hAnsi="宋体" w:cs="宋体"/>
          <w:b/>
          <w:bCs/>
          <w:color w:val="000000"/>
          <w:kern w:val="0"/>
          <w:sz w:val="28"/>
          <w:szCs w:val="28"/>
        </w:rPr>
      </w:pPr>
    </w:p>
    <w:p w14:paraId="0EAA070D">
      <w:pPr>
        <w:widowControl/>
        <w:jc w:val="left"/>
        <w:rPr>
          <w:rFonts w:ascii="宋体" w:hAnsi="宋体" w:cs="宋体"/>
          <w:b/>
          <w:bCs/>
          <w:color w:val="000000"/>
          <w:kern w:val="0"/>
          <w:sz w:val="28"/>
          <w:szCs w:val="28"/>
        </w:rPr>
      </w:pPr>
    </w:p>
    <w:p w14:paraId="2BDD4641">
      <w:pPr>
        <w:widowControl/>
        <w:jc w:val="left"/>
        <w:rPr>
          <w:rFonts w:ascii="宋体" w:hAnsi="宋体" w:cs="宋体"/>
          <w:b/>
          <w:bCs/>
          <w:color w:val="000000"/>
          <w:kern w:val="0"/>
          <w:sz w:val="28"/>
          <w:szCs w:val="28"/>
        </w:rPr>
      </w:pPr>
    </w:p>
    <w:p w14:paraId="62DCFEDB">
      <w:pPr>
        <w:widowControl/>
        <w:jc w:val="left"/>
        <w:rPr>
          <w:rFonts w:ascii="宋体" w:hAnsi="宋体" w:cs="宋体"/>
          <w:b/>
          <w:color w:val="000000"/>
          <w:kern w:val="0"/>
        </w:rPr>
      </w:pPr>
    </w:p>
    <w:p w14:paraId="532A103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（可自拟）</w:t>
      </w:r>
    </w:p>
    <w:p w14:paraId="0FBC1294">
      <w:pPr>
        <w:spacing w:line="360" w:lineRule="auto"/>
        <w:rPr>
          <w:rFonts w:ascii="宋体" w:hAnsi="宋体"/>
          <w:sz w:val="28"/>
          <w:szCs w:val="28"/>
        </w:rPr>
      </w:pPr>
    </w:p>
    <w:p w14:paraId="3D216506">
      <w:pPr>
        <w:snapToGrid w:val="0"/>
        <w:spacing w:line="360" w:lineRule="auto"/>
        <w:jc w:val="center"/>
        <w:rPr>
          <w:b/>
          <w:bCs/>
          <w:sz w:val="24"/>
          <w:szCs w:val="24"/>
        </w:rPr>
      </w:pPr>
      <w:r>
        <w:rPr>
          <w:rFonts w:hint="eastAsia"/>
          <w:b/>
          <w:bCs/>
          <w:sz w:val="24"/>
          <w:szCs w:val="24"/>
        </w:rPr>
        <w:t>项目报价单</w:t>
      </w:r>
    </w:p>
    <w:tbl>
      <w:tblPr>
        <w:tblStyle w:val="21"/>
        <w:tblW w:w="9538" w:type="dxa"/>
        <w:tblInd w:w="-789" w:type="dxa"/>
        <w:tblLayout w:type="fixed"/>
        <w:tblCellMar>
          <w:top w:w="0" w:type="dxa"/>
          <w:left w:w="0" w:type="dxa"/>
          <w:bottom w:w="0" w:type="dxa"/>
          <w:right w:w="0" w:type="dxa"/>
        </w:tblCellMar>
      </w:tblPr>
      <w:tblGrid>
        <w:gridCol w:w="2037"/>
        <w:gridCol w:w="3100"/>
        <w:gridCol w:w="4401"/>
      </w:tblGrid>
      <w:tr w14:paraId="2B5CFAC4">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452D65EE">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79AC31A0">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5DF8C2FB">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14:paraId="7D9BDCB6">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90CF40A">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AFE5E">
            <w:pPr>
              <w:pStyle w:val="47"/>
              <w:adjustRightInd w:val="0"/>
              <w:snapToGrid w:val="0"/>
              <w:spacing w:line="360" w:lineRule="auto"/>
              <w:ind w:firstLine="0" w:firstLineChars="0"/>
              <w:jc w:val="center"/>
              <w:rPr>
                <w:rFonts w:eastAsia="微软雅黑"/>
                <w:kern w:val="0"/>
                <w:sz w:val="22"/>
              </w:rPr>
            </w:pPr>
            <w:r>
              <w:rPr>
                <w:rFonts w:hint="eastAsia" w:ascii="宋体" w:hAnsi="宋体" w:cs="宋体"/>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D5B13">
            <w:pPr>
              <w:adjustRightInd w:val="0"/>
              <w:snapToGrid w:val="0"/>
              <w:jc w:val="center"/>
              <w:rPr>
                <w:rFonts w:eastAsia="微软雅黑"/>
                <w:sz w:val="22"/>
              </w:rPr>
            </w:pPr>
          </w:p>
        </w:tc>
      </w:tr>
      <w:tr w14:paraId="6CEC9D6F">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F6F3923">
            <w:pPr>
              <w:pStyle w:val="5"/>
              <w:adjustRightInd w:val="0"/>
              <w:snapToGrid w:val="0"/>
              <w:spacing w:line="440" w:lineRule="exact"/>
              <w:jc w:val="center"/>
              <w:rPr>
                <w:rFonts w:ascii="宋体" w:hAnsi="宋体" w:cs="宋体"/>
              </w:rPr>
            </w:pPr>
            <w:r>
              <w:rPr>
                <w:rFonts w:hint="eastAsia" w:ascii="宋体" w:hAnsi="宋体" w:cs="宋体"/>
              </w:rPr>
              <w:t>投标人是否属于</w:t>
            </w:r>
          </w:p>
          <w:p w14:paraId="48EFD9D8">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4FD0D">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14:paraId="4C6090A0">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14:paraId="2F993A25">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14:paraId="24586620">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14:paraId="6E529471">
      <w:pPr>
        <w:widowControl/>
        <w:shd w:val="clear" w:color="auto" w:fill="FFFFFF"/>
        <w:spacing w:line="360" w:lineRule="auto"/>
        <w:jc w:val="left"/>
        <w:rPr>
          <w:rFonts w:ascii="宋体" w:hAnsi="宋体" w:cs="宋体"/>
          <w:kern w:val="0"/>
        </w:rPr>
      </w:pPr>
    </w:p>
    <w:p w14:paraId="7115A371">
      <w:pPr>
        <w:widowControl/>
        <w:shd w:val="clear" w:color="auto" w:fill="FFFFFF"/>
        <w:spacing w:line="360" w:lineRule="auto"/>
        <w:jc w:val="left"/>
        <w:rPr>
          <w:rFonts w:ascii="宋体" w:hAnsi="宋体" w:cs="宋体"/>
          <w:kern w:val="0"/>
        </w:rPr>
      </w:pPr>
      <w:r>
        <w:rPr>
          <w:rFonts w:hint="eastAsia" w:ascii="宋体" w:hAnsi="宋体" w:cs="宋体"/>
          <w:kern w:val="0"/>
        </w:rPr>
        <w:t>说明：</w:t>
      </w:r>
    </w:p>
    <w:p w14:paraId="662C1192">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14:paraId="43AB010E">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14:paraId="125448F6">
      <w:pPr>
        <w:widowControl/>
        <w:jc w:val="left"/>
        <w:rPr>
          <w:rFonts w:ascii="宋体" w:hAnsi="宋体" w:cs="宋体"/>
          <w:b/>
          <w:color w:val="000000"/>
          <w:kern w:val="0"/>
        </w:rPr>
      </w:pPr>
    </w:p>
    <w:p w14:paraId="467FB4CC">
      <w:pPr>
        <w:widowControl/>
        <w:jc w:val="left"/>
        <w:rPr>
          <w:rFonts w:ascii="宋体" w:hAnsi="宋体" w:cs="宋体"/>
          <w:b/>
          <w:color w:val="000000"/>
          <w:kern w:val="0"/>
        </w:rPr>
      </w:pPr>
    </w:p>
    <w:p w14:paraId="2C47CF20">
      <w:pPr>
        <w:widowControl/>
        <w:jc w:val="left"/>
        <w:rPr>
          <w:rFonts w:ascii="宋体" w:hAnsi="宋体" w:cs="宋体"/>
          <w:b/>
          <w:color w:val="000000"/>
          <w:kern w:val="0"/>
        </w:rPr>
      </w:pPr>
    </w:p>
    <w:p w14:paraId="59E1D05F">
      <w:pPr>
        <w:widowControl/>
        <w:jc w:val="left"/>
        <w:rPr>
          <w:rFonts w:ascii="宋体" w:hAnsi="宋体" w:cs="宋体"/>
          <w:b/>
          <w:color w:val="000000"/>
          <w:kern w:val="0"/>
        </w:rPr>
      </w:pPr>
    </w:p>
    <w:p w14:paraId="4703ACDF">
      <w:pPr>
        <w:widowControl/>
        <w:jc w:val="left"/>
        <w:rPr>
          <w:rFonts w:ascii="宋体" w:hAnsi="宋体" w:cs="宋体"/>
          <w:b/>
          <w:color w:val="000000"/>
          <w:kern w:val="0"/>
        </w:rPr>
      </w:pPr>
    </w:p>
    <w:p w14:paraId="730BB11D">
      <w:pPr>
        <w:widowControl/>
        <w:jc w:val="left"/>
        <w:rPr>
          <w:rFonts w:ascii="宋体" w:hAnsi="宋体" w:cs="宋体"/>
          <w:b/>
          <w:color w:val="000000"/>
          <w:kern w:val="0"/>
        </w:rPr>
      </w:pPr>
    </w:p>
    <w:p w14:paraId="22969807">
      <w:pPr>
        <w:widowControl/>
        <w:jc w:val="left"/>
        <w:rPr>
          <w:rFonts w:ascii="宋体" w:hAnsi="宋体" w:cs="宋体"/>
          <w:b/>
          <w:color w:val="000000"/>
          <w:kern w:val="0"/>
        </w:rPr>
      </w:pPr>
    </w:p>
    <w:p w14:paraId="06530D01">
      <w:pPr>
        <w:widowControl/>
        <w:jc w:val="left"/>
        <w:rPr>
          <w:rFonts w:ascii="宋体" w:hAnsi="宋体" w:cs="宋体"/>
          <w:b/>
          <w:color w:val="000000"/>
          <w:kern w:val="0"/>
        </w:rPr>
      </w:pPr>
    </w:p>
    <w:p w14:paraId="3B26854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4FD3CB2F">
      <w:pPr>
        <w:widowControl/>
        <w:jc w:val="center"/>
        <w:rPr>
          <w:rFonts w:ascii="宋体" w:hAnsi="宋体" w:cs="宋体"/>
          <w:b/>
          <w:bCs/>
          <w:color w:val="000000"/>
          <w:kern w:val="0"/>
          <w:sz w:val="28"/>
          <w:szCs w:val="28"/>
        </w:rPr>
      </w:pPr>
    </w:p>
    <w:p w14:paraId="0B26B47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66E65D19">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6C3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E8E6B70">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28BC7BFC">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1ED3348">
            <w:pPr>
              <w:widowControl/>
              <w:jc w:val="left"/>
            </w:pPr>
            <w:r>
              <w:rPr>
                <w:rFonts w:hint="eastAsia" w:ascii="宋体" w:hAnsi="宋体" w:cs="宋体"/>
                <w:color w:val="000000"/>
                <w:kern w:val="0"/>
              </w:rPr>
              <w:t>供应商响应技术条款描述</w:t>
            </w:r>
          </w:p>
          <w:p w14:paraId="63D54EF6">
            <w:pPr>
              <w:widowControl/>
              <w:jc w:val="left"/>
              <w:rPr>
                <w:rFonts w:ascii="宋体" w:hAnsi="宋体" w:cs="宋体"/>
                <w:color w:val="000000"/>
                <w:kern w:val="0"/>
              </w:rPr>
            </w:pPr>
          </w:p>
        </w:tc>
        <w:tc>
          <w:tcPr>
            <w:tcW w:w="1995" w:type="dxa"/>
          </w:tcPr>
          <w:p w14:paraId="09430C3C">
            <w:pPr>
              <w:widowControl/>
              <w:jc w:val="left"/>
              <w:rPr>
                <w:rFonts w:ascii="宋体" w:hAnsi="宋体" w:cs="宋体"/>
                <w:color w:val="000000"/>
                <w:kern w:val="0"/>
              </w:rPr>
            </w:pPr>
            <w:r>
              <w:rPr>
                <w:rFonts w:hint="eastAsia" w:ascii="宋体" w:hAnsi="宋体" w:cs="宋体"/>
                <w:color w:val="000000"/>
                <w:kern w:val="0"/>
              </w:rPr>
              <w:t>投标响应情况</w:t>
            </w:r>
          </w:p>
        </w:tc>
      </w:tr>
      <w:tr w14:paraId="6695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31ABE8">
            <w:pPr>
              <w:widowControl/>
              <w:jc w:val="left"/>
              <w:rPr>
                <w:rFonts w:ascii="宋体" w:hAnsi="宋体" w:cs="宋体"/>
                <w:color w:val="000000"/>
                <w:kern w:val="0"/>
              </w:rPr>
            </w:pPr>
          </w:p>
        </w:tc>
        <w:tc>
          <w:tcPr>
            <w:tcW w:w="1420" w:type="dxa"/>
          </w:tcPr>
          <w:p w14:paraId="1A9CD300">
            <w:pPr>
              <w:widowControl/>
              <w:jc w:val="left"/>
              <w:rPr>
                <w:rFonts w:ascii="宋体" w:hAnsi="宋体" w:cs="宋体"/>
                <w:color w:val="000000"/>
                <w:kern w:val="0"/>
              </w:rPr>
            </w:pPr>
          </w:p>
        </w:tc>
        <w:tc>
          <w:tcPr>
            <w:tcW w:w="3597" w:type="dxa"/>
          </w:tcPr>
          <w:p w14:paraId="0D577A2C">
            <w:pPr>
              <w:widowControl/>
              <w:jc w:val="left"/>
              <w:rPr>
                <w:rFonts w:ascii="宋体" w:hAnsi="宋体" w:cs="宋体"/>
                <w:color w:val="000000"/>
                <w:kern w:val="0"/>
              </w:rPr>
            </w:pPr>
          </w:p>
        </w:tc>
        <w:tc>
          <w:tcPr>
            <w:tcW w:w="1995" w:type="dxa"/>
          </w:tcPr>
          <w:p w14:paraId="6FF6B549">
            <w:pPr>
              <w:widowControl/>
              <w:jc w:val="left"/>
              <w:rPr>
                <w:rFonts w:ascii="宋体" w:hAnsi="宋体" w:cs="宋体"/>
                <w:color w:val="000000"/>
                <w:kern w:val="0"/>
              </w:rPr>
            </w:pPr>
          </w:p>
        </w:tc>
      </w:tr>
      <w:tr w14:paraId="34EC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537D5C2">
            <w:pPr>
              <w:widowControl/>
              <w:jc w:val="left"/>
              <w:rPr>
                <w:rFonts w:ascii="宋体" w:hAnsi="宋体" w:cs="宋体"/>
                <w:color w:val="000000"/>
                <w:kern w:val="0"/>
              </w:rPr>
            </w:pPr>
          </w:p>
        </w:tc>
        <w:tc>
          <w:tcPr>
            <w:tcW w:w="1420" w:type="dxa"/>
          </w:tcPr>
          <w:p w14:paraId="1A101F63">
            <w:pPr>
              <w:widowControl/>
              <w:jc w:val="left"/>
              <w:rPr>
                <w:rFonts w:ascii="宋体" w:hAnsi="宋体" w:cs="宋体"/>
                <w:color w:val="000000"/>
                <w:kern w:val="0"/>
              </w:rPr>
            </w:pPr>
          </w:p>
        </w:tc>
        <w:tc>
          <w:tcPr>
            <w:tcW w:w="3597" w:type="dxa"/>
          </w:tcPr>
          <w:p w14:paraId="7790DD5F">
            <w:pPr>
              <w:widowControl/>
              <w:jc w:val="left"/>
              <w:rPr>
                <w:rFonts w:ascii="宋体" w:hAnsi="宋体" w:cs="宋体"/>
                <w:color w:val="000000"/>
                <w:kern w:val="0"/>
              </w:rPr>
            </w:pPr>
          </w:p>
        </w:tc>
        <w:tc>
          <w:tcPr>
            <w:tcW w:w="1995" w:type="dxa"/>
          </w:tcPr>
          <w:p w14:paraId="0B897F80">
            <w:pPr>
              <w:widowControl/>
              <w:jc w:val="left"/>
              <w:rPr>
                <w:rFonts w:ascii="宋体" w:hAnsi="宋体" w:cs="宋体"/>
                <w:color w:val="000000"/>
                <w:kern w:val="0"/>
              </w:rPr>
            </w:pPr>
          </w:p>
        </w:tc>
      </w:tr>
      <w:tr w14:paraId="70B0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23B4FA3">
            <w:pPr>
              <w:widowControl/>
              <w:jc w:val="left"/>
              <w:rPr>
                <w:rFonts w:ascii="宋体" w:hAnsi="宋体" w:cs="宋体"/>
                <w:color w:val="000000"/>
                <w:kern w:val="0"/>
              </w:rPr>
            </w:pPr>
          </w:p>
        </w:tc>
        <w:tc>
          <w:tcPr>
            <w:tcW w:w="1420" w:type="dxa"/>
          </w:tcPr>
          <w:p w14:paraId="386ACF58">
            <w:pPr>
              <w:widowControl/>
              <w:jc w:val="left"/>
              <w:rPr>
                <w:rFonts w:ascii="宋体" w:hAnsi="宋体" w:cs="宋体"/>
                <w:color w:val="000000"/>
                <w:kern w:val="0"/>
              </w:rPr>
            </w:pPr>
          </w:p>
        </w:tc>
        <w:tc>
          <w:tcPr>
            <w:tcW w:w="3597" w:type="dxa"/>
          </w:tcPr>
          <w:p w14:paraId="74A14679">
            <w:pPr>
              <w:widowControl/>
              <w:jc w:val="left"/>
              <w:rPr>
                <w:rFonts w:ascii="宋体" w:hAnsi="宋体" w:cs="宋体"/>
                <w:color w:val="000000"/>
                <w:kern w:val="0"/>
              </w:rPr>
            </w:pPr>
          </w:p>
        </w:tc>
        <w:tc>
          <w:tcPr>
            <w:tcW w:w="1995" w:type="dxa"/>
          </w:tcPr>
          <w:p w14:paraId="6A198930">
            <w:pPr>
              <w:widowControl/>
              <w:jc w:val="left"/>
              <w:rPr>
                <w:rFonts w:ascii="宋体" w:hAnsi="宋体" w:cs="宋体"/>
                <w:color w:val="000000"/>
                <w:kern w:val="0"/>
              </w:rPr>
            </w:pPr>
          </w:p>
        </w:tc>
      </w:tr>
      <w:tr w14:paraId="3F9B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5D49F9">
            <w:pPr>
              <w:widowControl/>
              <w:jc w:val="left"/>
              <w:rPr>
                <w:rFonts w:ascii="宋体" w:hAnsi="宋体" w:cs="宋体"/>
                <w:color w:val="000000"/>
                <w:kern w:val="0"/>
              </w:rPr>
            </w:pPr>
          </w:p>
        </w:tc>
        <w:tc>
          <w:tcPr>
            <w:tcW w:w="1420" w:type="dxa"/>
          </w:tcPr>
          <w:p w14:paraId="48EBC579">
            <w:pPr>
              <w:widowControl/>
              <w:jc w:val="left"/>
              <w:rPr>
                <w:rFonts w:ascii="宋体" w:hAnsi="宋体" w:cs="宋体"/>
                <w:color w:val="000000"/>
                <w:kern w:val="0"/>
              </w:rPr>
            </w:pPr>
          </w:p>
        </w:tc>
        <w:tc>
          <w:tcPr>
            <w:tcW w:w="3597" w:type="dxa"/>
          </w:tcPr>
          <w:p w14:paraId="1803A201">
            <w:pPr>
              <w:widowControl/>
              <w:jc w:val="left"/>
              <w:rPr>
                <w:rFonts w:ascii="宋体" w:hAnsi="宋体" w:cs="宋体"/>
                <w:color w:val="000000"/>
                <w:kern w:val="0"/>
              </w:rPr>
            </w:pPr>
          </w:p>
        </w:tc>
        <w:tc>
          <w:tcPr>
            <w:tcW w:w="1995" w:type="dxa"/>
          </w:tcPr>
          <w:p w14:paraId="5E6ABB2E">
            <w:pPr>
              <w:widowControl/>
              <w:jc w:val="left"/>
              <w:rPr>
                <w:rFonts w:ascii="宋体" w:hAnsi="宋体" w:cs="宋体"/>
                <w:color w:val="000000"/>
                <w:kern w:val="0"/>
              </w:rPr>
            </w:pPr>
          </w:p>
        </w:tc>
      </w:tr>
    </w:tbl>
    <w:p w14:paraId="55BF04F7">
      <w:pPr>
        <w:widowControl/>
        <w:jc w:val="left"/>
      </w:pPr>
    </w:p>
    <w:p w14:paraId="1C2E6AAC">
      <w:pPr>
        <w:widowControl/>
        <w:jc w:val="left"/>
      </w:pPr>
      <w:r>
        <w:rPr>
          <w:rFonts w:hint="eastAsia" w:ascii="宋体" w:hAnsi="宋体" w:cs="宋体"/>
          <w:color w:val="000000"/>
          <w:kern w:val="0"/>
        </w:rPr>
        <w:t xml:space="preserve">说明：如果行数不够，请自行增加。 </w:t>
      </w:r>
    </w:p>
    <w:p w14:paraId="3BBF1463">
      <w:pPr>
        <w:widowControl/>
        <w:ind w:firstLine="5670" w:firstLineChars="2700"/>
        <w:jc w:val="left"/>
      </w:pPr>
      <w:r>
        <w:rPr>
          <w:rFonts w:hint="eastAsia" w:ascii="宋体" w:hAnsi="宋体" w:cs="宋体"/>
          <w:color w:val="000000"/>
          <w:kern w:val="0"/>
        </w:rPr>
        <w:t>供应商名称： （盖章）</w:t>
      </w:r>
    </w:p>
    <w:p w14:paraId="2C7DF3E1">
      <w:pPr>
        <w:widowControl/>
        <w:jc w:val="left"/>
        <w:rPr>
          <w:rFonts w:ascii="宋体" w:hAnsi="宋体" w:cs="宋体"/>
          <w:b/>
          <w:color w:val="000000"/>
          <w:kern w:val="0"/>
        </w:rPr>
      </w:pPr>
    </w:p>
    <w:p w14:paraId="7701D760">
      <w:pPr>
        <w:widowControl/>
        <w:jc w:val="left"/>
        <w:rPr>
          <w:rFonts w:ascii="宋体" w:hAnsi="宋体" w:cs="宋体"/>
          <w:b/>
          <w:color w:val="000000"/>
          <w:kern w:val="0"/>
        </w:rPr>
      </w:pPr>
    </w:p>
    <w:p w14:paraId="1CB07982">
      <w:pPr>
        <w:pStyle w:val="26"/>
        <w:ind w:firstLine="422"/>
        <w:rPr>
          <w:rFonts w:ascii="宋体" w:hAnsi="宋体" w:cs="宋体"/>
          <w:b/>
          <w:color w:val="000000"/>
          <w:kern w:val="0"/>
          <w:szCs w:val="21"/>
          <w:lang w:val="en-US"/>
        </w:rPr>
      </w:pPr>
    </w:p>
    <w:p w14:paraId="39323EFA">
      <w:pPr>
        <w:pStyle w:val="26"/>
        <w:ind w:firstLine="422"/>
        <w:rPr>
          <w:rFonts w:ascii="宋体" w:hAnsi="宋体" w:cs="宋体"/>
          <w:b/>
          <w:color w:val="000000"/>
          <w:kern w:val="0"/>
          <w:szCs w:val="21"/>
          <w:lang w:val="en-US"/>
        </w:rPr>
      </w:pPr>
    </w:p>
    <w:p w14:paraId="57A6D2FD">
      <w:pPr>
        <w:pStyle w:val="26"/>
        <w:ind w:firstLine="422"/>
        <w:rPr>
          <w:rFonts w:ascii="宋体" w:hAnsi="宋体" w:cs="宋体"/>
          <w:b/>
          <w:color w:val="000000"/>
          <w:kern w:val="0"/>
          <w:szCs w:val="21"/>
          <w:lang w:val="en-US"/>
        </w:rPr>
      </w:pPr>
    </w:p>
    <w:p w14:paraId="35F90967">
      <w:pPr>
        <w:pStyle w:val="26"/>
        <w:ind w:firstLine="422"/>
        <w:rPr>
          <w:rFonts w:ascii="宋体" w:hAnsi="宋体" w:cs="宋体"/>
          <w:b/>
          <w:color w:val="000000"/>
          <w:kern w:val="0"/>
          <w:szCs w:val="21"/>
          <w:lang w:val="en-US"/>
        </w:rPr>
      </w:pPr>
    </w:p>
    <w:p w14:paraId="2DEA97ED">
      <w:pPr>
        <w:pStyle w:val="26"/>
        <w:ind w:firstLine="422"/>
        <w:rPr>
          <w:rFonts w:ascii="宋体" w:hAnsi="宋体" w:cs="宋体"/>
          <w:b/>
          <w:color w:val="000000"/>
          <w:kern w:val="0"/>
          <w:szCs w:val="21"/>
          <w:lang w:val="en-US"/>
        </w:rPr>
      </w:pPr>
    </w:p>
    <w:p w14:paraId="1BD31AF8">
      <w:pPr>
        <w:pStyle w:val="26"/>
        <w:ind w:firstLine="422"/>
        <w:rPr>
          <w:rFonts w:ascii="宋体" w:hAnsi="宋体" w:cs="宋体"/>
          <w:b/>
          <w:color w:val="000000"/>
          <w:kern w:val="0"/>
          <w:szCs w:val="21"/>
          <w:lang w:val="en-US"/>
        </w:rPr>
      </w:pPr>
    </w:p>
    <w:p w14:paraId="0CBE5498">
      <w:pPr>
        <w:pStyle w:val="26"/>
        <w:ind w:firstLine="422"/>
        <w:rPr>
          <w:rFonts w:ascii="宋体" w:hAnsi="宋体" w:cs="宋体"/>
          <w:b/>
          <w:color w:val="000000"/>
          <w:kern w:val="0"/>
          <w:szCs w:val="21"/>
          <w:lang w:val="en-US"/>
        </w:rPr>
      </w:pPr>
    </w:p>
    <w:p w14:paraId="7CBFFD0B">
      <w:pPr>
        <w:pStyle w:val="26"/>
        <w:ind w:firstLine="422"/>
        <w:rPr>
          <w:rFonts w:ascii="宋体" w:hAnsi="宋体" w:cs="宋体"/>
          <w:b/>
          <w:color w:val="000000"/>
          <w:kern w:val="0"/>
          <w:szCs w:val="21"/>
          <w:lang w:val="en-US"/>
        </w:rPr>
      </w:pPr>
    </w:p>
    <w:p w14:paraId="6C5B872E">
      <w:pPr>
        <w:pStyle w:val="26"/>
        <w:ind w:firstLine="422"/>
        <w:rPr>
          <w:rFonts w:ascii="宋体" w:hAnsi="宋体" w:cs="宋体"/>
          <w:b/>
          <w:color w:val="000000"/>
          <w:kern w:val="0"/>
          <w:szCs w:val="21"/>
          <w:lang w:val="en-US"/>
        </w:rPr>
      </w:pPr>
    </w:p>
    <w:p w14:paraId="0E5DD70A">
      <w:pPr>
        <w:pStyle w:val="26"/>
        <w:ind w:firstLine="422"/>
        <w:rPr>
          <w:rFonts w:ascii="宋体" w:hAnsi="宋体" w:cs="宋体"/>
          <w:b/>
          <w:color w:val="000000"/>
          <w:kern w:val="0"/>
          <w:szCs w:val="21"/>
          <w:lang w:val="en-US"/>
        </w:rPr>
      </w:pPr>
    </w:p>
    <w:p w14:paraId="410F60B1">
      <w:pPr>
        <w:pStyle w:val="26"/>
        <w:ind w:firstLine="422"/>
        <w:rPr>
          <w:rFonts w:ascii="宋体" w:hAnsi="宋体" w:cs="宋体"/>
          <w:b/>
          <w:color w:val="000000"/>
          <w:kern w:val="0"/>
          <w:szCs w:val="21"/>
          <w:lang w:val="en-US"/>
        </w:rPr>
      </w:pPr>
    </w:p>
    <w:p w14:paraId="05FD39C6">
      <w:pPr>
        <w:pStyle w:val="26"/>
        <w:ind w:firstLine="422"/>
        <w:rPr>
          <w:rFonts w:ascii="宋体" w:hAnsi="宋体" w:cs="宋体"/>
          <w:b/>
          <w:color w:val="000000"/>
          <w:kern w:val="0"/>
          <w:szCs w:val="21"/>
          <w:lang w:val="en-US"/>
        </w:rPr>
      </w:pPr>
    </w:p>
    <w:p w14:paraId="5E9E21BE">
      <w:pPr>
        <w:pStyle w:val="26"/>
        <w:ind w:firstLine="422"/>
        <w:rPr>
          <w:rFonts w:ascii="宋体" w:hAnsi="宋体" w:cs="宋体"/>
          <w:b/>
          <w:color w:val="000000"/>
          <w:kern w:val="0"/>
          <w:szCs w:val="21"/>
          <w:lang w:val="en-US"/>
        </w:rPr>
      </w:pPr>
    </w:p>
    <w:p w14:paraId="7381546E">
      <w:pPr>
        <w:pStyle w:val="26"/>
        <w:ind w:firstLine="422"/>
        <w:rPr>
          <w:rFonts w:ascii="宋体" w:hAnsi="宋体" w:cs="宋体"/>
          <w:b/>
          <w:color w:val="000000"/>
          <w:kern w:val="0"/>
          <w:szCs w:val="21"/>
          <w:lang w:val="en-US"/>
        </w:rPr>
      </w:pPr>
    </w:p>
    <w:p w14:paraId="4390FB11">
      <w:pPr>
        <w:pStyle w:val="26"/>
        <w:ind w:firstLine="422"/>
        <w:rPr>
          <w:rFonts w:ascii="宋体" w:hAnsi="宋体" w:cs="宋体"/>
          <w:b/>
          <w:color w:val="000000"/>
          <w:kern w:val="0"/>
          <w:szCs w:val="21"/>
          <w:lang w:val="en-US"/>
        </w:rPr>
      </w:pPr>
    </w:p>
    <w:p w14:paraId="2BFCA5CD">
      <w:pPr>
        <w:pStyle w:val="26"/>
        <w:ind w:firstLine="422"/>
        <w:rPr>
          <w:rFonts w:ascii="宋体" w:hAnsi="宋体" w:cs="宋体"/>
          <w:b/>
          <w:color w:val="000000"/>
          <w:kern w:val="0"/>
          <w:szCs w:val="21"/>
          <w:lang w:val="en-US"/>
        </w:rPr>
      </w:pPr>
    </w:p>
    <w:p w14:paraId="16716F29">
      <w:pPr>
        <w:pStyle w:val="26"/>
        <w:ind w:firstLine="422"/>
        <w:rPr>
          <w:rFonts w:ascii="宋体" w:hAnsi="宋体" w:cs="宋体"/>
          <w:b/>
          <w:color w:val="000000"/>
          <w:kern w:val="0"/>
          <w:szCs w:val="21"/>
          <w:lang w:val="en-US"/>
        </w:rPr>
      </w:pPr>
    </w:p>
    <w:p w14:paraId="18C22887">
      <w:pPr>
        <w:pStyle w:val="26"/>
        <w:ind w:firstLine="422"/>
        <w:rPr>
          <w:rFonts w:ascii="宋体" w:hAnsi="宋体" w:cs="宋体"/>
          <w:b/>
          <w:color w:val="000000"/>
          <w:kern w:val="0"/>
          <w:szCs w:val="21"/>
          <w:lang w:val="en-US"/>
        </w:rPr>
      </w:pPr>
    </w:p>
    <w:p w14:paraId="6B997218">
      <w:pPr>
        <w:pStyle w:val="26"/>
        <w:ind w:firstLine="422"/>
        <w:rPr>
          <w:rFonts w:ascii="宋体" w:hAnsi="宋体" w:cs="宋体"/>
          <w:b/>
          <w:color w:val="000000"/>
          <w:kern w:val="0"/>
          <w:szCs w:val="21"/>
          <w:lang w:val="en-US"/>
        </w:rPr>
      </w:pPr>
    </w:p>
    <w:p w14:paraId="78BB059E">
      <w:pPr>
        <w:pStyle w:val="26"/>
        <w:ind w:firstLine="422"/>
        <w:rPr>
          <w:rFonts w:ascii="宋体" w:hAnsi="宋体" w:cs="宋体"/>
          <w:b/>
          <w:color w:val="000000"/>
          <w:kern w:val="0"/>
          <w:szCs w:val="21"/>
          <w:lang w:val="en-US"/>
        </w:rPr>
      </w:pPr>
    </w:p>
    <w:p w14:paraId="39D364D3">
      <w:pPr>
        <w:pStyle w:val="26"/>
        <w:ind w:firstLine="422"/>
        <w:rPr>
          <w:rFonts w:ascii="宋体" w:hAnsi="宋体" w:cs="宋体"/>
          <w:b/>
          <w:color w:val="000000"/>
          <w:kern w:val="0"/>
          <w:szCs w:val="21"/>
          <w:lang w:val="en-US"/>
        </w:rPr>
      </w:pPr>
    </w:p>
    <w:p w14:paraId="7DCFD82D">
      <w:pPr>
        <w:pStyle w:val="26"/>
        <w:ind w:firstLine="422"/>
        <w:rPr>
          <w:rFonts w:ascii="宋体" w:hAnsi="宋体" w:cs="宋体"/>
          <w:b/>
          <w:color w:val="000000"/>
          <w:kern w:val="0"/>
          <w:szCs w:val="21"/>
          <w:lang w:val="en-US"/>
        </w:rPr>
      </w:pPr>
    </w:p>
    <w:p w14:paraId="29A53B46">
      <w:pPr>
        <w:pStyle w:val="26"/>
        <w:ind w:firstLine="422"/>
        <w:rPr>
          <w:rFonts w:ascii="宋体" w:hAnsi="宋体" w:cs="宋体"/>
          <w:b/>
          <w:color w:val="000000"/>
          <w:kern w:val="0"/>
          <w:szCs w:val="21"/>
          <w:lang w:val="en-US"/>
        </w:rPr>
      </w:pPr>
    </w:p>
    <w:p w14:paraId="42DFA8E6">
      <w:pPr>
        <w:pStyle w:val="26"/>
        <w:ind w:firstLine="422"/>
        <w:rPr>
          <w:rFonts w:ascii="宋体" w:hAnsi="宋体" w:cs="宋体"/>
          <w:b/>
          <w:color w:val="000000"/>
          <w:kern w:val="0"/>
          <w:szCs w:val="21"/>
          <w:lang w:val="en-US"/>
        </w:rPr>
      </w:pPr>
    </w:p>
    <w:p w14:paraId="195F4970">
      <w:pPr>
        <w:widowControl/>
        <w:jc w:val="left"/>
        <w:rPr>
          <w:rFonts w:ascii="宋体" w:hAnsi="宋体" w:cs="宋体"/>
          <w:b/>
          <w:color w:val="000000"/>
          <w:kern w:val="0"/>
        </w:rPr>
      </w:pPr>
    </w:p>
    <w:p w14:paraId="779104E8">
      <w:pPr>
        <w:widowControl/>
        <w:jc w:val="left"/>
      </w:pPr>
      <w:r>
        <w:rPr>
          <w:rFonts w:hint="eastAsia" w:ascii="宋体" w:hAnsi="宋体" w:cs="宋体"/>
          <w:b/>
          <w:bCs/>
          <w:color w:val="000000"/>
          <w:kern w:val="0"/>
          <w:sz w:val="28"/>
          <w:szCs w:val="28"/>
        </w:rPr>
        <w:t xml:space="preserve">附件五、项目实施方案（自拟） </w:t>
      </w:r>
    </w:p>
    <w:p w14:paraId="11763377">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7EA12761">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0770BB90">
      <w:pPr>
        <w:widowControl/>
        <w:spacing w:line="360" w:lineRule="auto"/>
        <w:ind w:firstLine="420" w:firstLineChars="200"/>
        <w:jc w:val="left"/>
        <w:rPr>
          <w:rFonts w:ascii="宋体" w:hAnsi="宋体" w:cs="宋体"/>
          <w:color w:val="000000"/>
          <w:kern w:val="0"/>
        </w:rPr>
      </w:pPr>
    </w:p>
    <w:p w14:paraId="0AD83897">
      <w:pPr>
        <w:widowControl/>
        <w:spacing w:line="360" w:lineRule="auto"/>
        <w:ind w:firstLine="420" w:firstLineChars="200"/>
        <w:jc w:val="left"/>
        <w:rPr>
          <w:rFonts w:ascii="宋体" w:hAnsi="宋体" w:cs="宋体"/>
          <w:color w:val="000000"/>
          <w:kern w:val="0"/>
        </w:rPr>
      </w:pPr>
    </w:p>
    <w:p w14:paraId="23FFB1F4">
      <w:pPr>
        <w:widowControl/>
        <w:spacing w:line="360" w:lineRule="auto"/>
        <w:ind w:firstLine="420" w:firstLineChars="200"/>
        <w:jc w:val="left"/>
        <w:rPr>
          <w:rFonts w:ascii="宋体" w:hAnsi="宋体" w:cs="宋体"/>
          <w:color w:val="000000"/>
          <w:kern w:val="0"/>
        </w:rPr>
      </w:pPr>
    </w:p>
    <w:p w14:paraId="235AA0DA">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66D9A269">
      <w:pPr>
        <w:pStyle w:val="26"/>
        <w:ind w:firstLine="420"/>
        <w:rPr>
          <w:rFonts w:ascii="宋体" w:hAnsi="宋体" w:cs="宋体"/>
          <w:color w:val="000000"/>
          <w:kern w:val="0"/>
          <w:szCs w:val="21"/>
          <w:lang w:val="en-US"/>
        </w:rPr>
      </w:pPr>
    </w:p>
    <w:p w14:paraId="46388078">
      <w:pPr>
        <w:pStyle w:val="26"/>
        <w:ind w:firstLine="420"/>
        <w:rPr>
          <w:rFonts w:ascii="宋体" w:hAnsi="宋体" w:cs="宋体"/>
          <w:color w:val="000000"/>
          <w:kern w:val="0"/>
          <w:szCs w:val="21"/>
          <w:lang w:val="en-US"/>
        </w:rPr>
      </w:pPr>
    </w:p>
    <w:p w14:paraId="00A54BC5">
      <w:pPr>
        <w:pStyle w:val="26"/>
        <w:ind w:firstLine="420"/>
        <w:rPr>
          <w:rFonts w:ascii="宋体" w:hAnsi="宋体" w:cs="宋体"/>
          <w:color w:val="000000"/>
          <w:kern w:val="0"/>
          <w:szCs w:val="21"/>
          <w:lang w:val="en-US"/>
        </w:rPr>
      </w:pPr>
    </w:p>
    <w:p w14:paraId="605885AD">
      <w:pPr>
        <w:pStyle w:val="26"/>
        <w:ind w:firstLine="420"/>
        <w:rPr>
          <w:rFonts w:ascii="宋体" w:hAnsi="宋体" w:cs="宋体"/>
          <w:color w:val="000000"/>
          <w:kern w:val="0"/>
          <w:szCs w:val="21"/>
          <w:lang w:val="en-US"/>
        </w:rPr>
      </w:pPr>
    </w:p>
    <w:p w14:paraId="3F0D3822">
      <w:pPr>
        <w:pStyle w:val="26"/>
        <w:ind w:firstLine="420"/>
        <w:rPr>
          <w:rFonts w:ascii="宋体" w:hAnsi="宋体" w:cs="宋体"/>
          <w:color w:val="000000"/>
          <w:kern w:val="0"/>
          <w:szCs w:val="21"/>
          <w:lang w:val="en-US"/>
        </w:rPr>
      </w:pPr>
    </w:p>
    <w:p w14:paraId="792F4012">
      <w:pPr>
        <w:pStyle w:val="26"/>
        <w:ind w:firstLine="420"/>
        <w:rPr>
          <w:rFonts w:ascii="宋体" w:hAnsi="宋体" w:cs="宋体"/>
          <w:color w:val="000000"/>
          <w:kern w:val="0"/>
          <w:szCs w:val="21"/>
          <w:lang w:val="en-US"/>
        </w:rPr>
      </w:pPr>
    </w:p>
    <w:p w14:paraId="24B9FCEF">
      <w:pPr>
        <w:pStyle w:val="26"/>
        <w:ind w:firstLine="420"/>
        <w:rPr>
          <w:rFonts w:ascii="宋体" w:hAnsi="宋体" w:cs="宋体"/>
          <w:color w:val="000000"/>
          <w:kern w:val="0"/>
          <w:szCs w:val="21"/>
          <w:lang w:val="en-US"/>
        </w:rPr>
      </w:pPr>
    </w:p>
    <w:p w14:paraId="0E29232F">
      <w:pPr>
        <w:pStyle w:val="26"/>
        <w:ind w:firstLine="420"/>
        <w:rPr>
          <w:rFonts w:ascii="宋体" w:hAnsi="宋体" w:cs="宋体"/>
          <w:color w:val="000000"/>
          <w:kern w:val="0"/>
          <w:szCs w:val="21"/>
          <w:lang w:val="en-US"/>
        </w:rPr>
      </w:pPr>
    </w:p>
    <w:p w14:paraId="5B378B0E">
      <w:pPr>
        <w:pStyle w:val="26"/>
        <w:ind w:firstLine="420"/>
        <w:rPr>
          <w:rFonts w:ascii="宋体" w:hAnsi="宋体" w:cs="宋体"/>
          <w:color w:val="000000"/>
          <w:kern w:val="0"/>
          <w:szCs w:val="21"/>
          <w:lang w:val="en-US"/>
        </w:rPr>
      </w:pPr>
    </w:p>
    <w:p w14:paraId="7CDE6EC6">
      <w:pPr>
        <w:pStyle w:val="26"/>
        <w:ind w:firstLine="420"/>
        <w:rPr>
          <w:rFonts w:ascii="宋体" w:hAnsi="宋体" w:cs="宋体"/>
          <w:color w:val="000000"/>
          <w:kern w:val="0"/>
          <w:szCs w:val="21"/>
          <w:lang w:val="en-US"/>
        </w:rPr>
      </w:pPr>
    </w:p>
    <w:p w14:paraId="7C4CA833">
      <w:pPr>
        <w:pStyle w:val="26"/>
        <w:ind w:firstLine="420"/>
        <w:rPr>
          <w:rFonts w:ascii="宋体" w:hAnsi="宋体" w:cs="宋体"/>
          <w:color w:val="000000"/>
          <w:kern w:val="0"/>
          <w:szCs w:val="21"/>
          <w:lang w:val="en-US"/>
        </w:rPr>
      </w:pPr>
    </w:p>
    <w:p w14:paraId="23DD998D">
      <w:pPr>
        <w:widowControl/>
        <w:jc w:val="left"/>
        <w:rPr>
          <w:rFonts w:ascii="宋体" w:hAnsi="宋体" w:cs="宋体"/>
          <w:color w:val="000000"/>
          <w:kern w:val="0"/>
          <w:sz w:val="28"/>
          <w:szCs w:val="28"/>
        </w:rPr>
      </w:pPr>
    </w:p>
    <w:p w14:paraId="075874CB">
      <w:pPr>
        <w:widowControl/>
        <w:jc w:val="left"/>
        <w:rPr>
          <w:rFonts w:ascii="宋体" w:hAnsi="宋体" w:cs="宋体"/>
          <w:color w:val="000000"/>
          <w:kern w:val="0"/>
          <w:sz w:val="28"/>
          <w:szCs w:val="28"/>
        </w:rPr>
      </w:pPr>
    </w:p>
    <w:p w14:paraId="6785368F">
      <w:pPr>
        <w:widowControl/>
        <w:jc w:val="left"/>
        <w:rPr>
          <w:rFonts w:ascii="宋体" w:hAnsi="宋体" w:cs="宋体"/>
          <w:color w:val="000000"/>
          <w:kern w:val="0"/>
          <w:sz w:val="28"/>
          <w:szCs w:val="28"/>
        </w:rPr>
      </w:pPr>
    </w:p>
    <w:p w14:paraId="7C8AE93B">
      <w:pPr>
        <w:widowControl/>
        <w:jc w:val="left"/>
        <w:rPr>
          <w:rFonts w:ascii="宋体" w:hAnsi="宋体" w:cs="宋体"/>
          <w:color w:val="000000"/>
          <w:kern w:val="0"/>
          <w:sz w:val="28"/>
          <w:szCs w:val="28"/>
        </w:rPr>
      </w:pPr>
    </w:p>
    <w:p w14:paraId="7822821A">
      <w:pPr>
        <w:widowControl/>
        <w:jc w:val="left"/>
        <w:rPr>
          <w:rFonts w:ascii="宋体" w:hAnsi="宋体" w:cs="宋体"/>
          <w:color w:val="000000"/>
          <w:kern w:val="0"/>
          <w:sz w:val="28"/>
          <w:szCs w:val="28"/>
        </w:rPr>
      </w:pPr>
    </w:p>
    <w:p w14:paraId="5EE62172">
      <w:pPr>
        <w:widowControl/>
        <w:jc w:val="left"/>
        <w:rPr>
          <w:rFonts w:ascii="宋体" w:hAnsi="宋体" w:cs="宋体"/>
          <w:color w:val="000000"/>
          <w:kern w:val="0"/>
          <w:sz w:val="28"/>
          <w:szCs w:val="28"/>
        </w:rPr>
      </w:pPr>
    </w:p>
    <w:p w14:paraId="3D9DF1F3">
      <w:pPr>
        <w:widowControl/>
        <w:jc w:val="left"/>
        <w:rPr>
          <w:rFonts w:ascii="宋体" w:hAnsi="宋体" w:cs="宋体"/>
          <w:color w:val="000000"/>
          <w:kern w:val="0"/>
          <w:sz w:val="28"/>
          <w:szCs w:val="28"/>
        </w:rPr>
      </w:pPr>
    </w:p>
    <w:p w14:paraId="6F57C174">
      <w:pPr>
        <w:widowControl/>
        <w:jc w:val="left"/>
        <w:rPr>
          <w:rFonts w:ascii="宋体" w:hAnsi="宋体" w:cs="宋体"/>
          <w:color w:val="000000"/>
          <w:kern w:val="0"/>
          <w:sz w:val="28"/>
          <w:szCs w:val="28"/>
        </w:rPr>
      </w:pPr>
    </w:p>
    <w:p w14:paraId="14A5789A">
      <w:pPr>
        <w:widowControl/>
        <w:jc w:val="left"/>
      </w:pPr>
    </w:p>
    <w:p w14:paraId="2B10705B">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30B326AE">
      <w:pPr>
        <w:widowControl/>
        <w:jc w:val="center"/>
        <w:rPr>
          <w:rFonts w:ascii="宋体" w:hAnsi="宋体" w:cs="宋体"/>
          <w:b/>
          <w:bCs/>
          <w:color w:val="000000"/>
          <w:kern w:val="0"/>
          <w:sz w:val="28"/>
          <w:szCs w:val="28"/>
        </w:rPr>
      </w:pPr>
    </w:p>
    <w:p w14:paraId="63DFAFF5">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79F5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76E468A">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7C94CB42">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7346ACD8">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7961BCB2">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14:paraId="3590FDF6">
            <w:pPr>
              <w:widowControl/>
              <w:jc w:val="left"/>
            </w:pPr>
            <w:r>
              <w:rPr>
                <w:rFonts w:hint="eastAsia" w:ascii="宋体" w:hAnsi="宋体" w:cs="宋体"/>
                <w:b/>
                <w:color w:val="000000"/>
                <w:kern w:val="0"/>
              </w:rPr>
              <w:t xml:space="preserve">年采购金额 </w:t>
            </w:r>
          </w:p>
          <w:p w14:paraId="166BA59B">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3ABCD99D">
            <w:pPr>
              <w:widowControl/>
              <w:jc w:val="left"/>
              <w:rPr>
                <w:rFonts w:ascii="宋体" w:hAnsi="宋体" w:cs="宋体"/>
                <w:b/>
                <w:color w:val="000000"/>
                <w:kern w:val="0"/>
              </w:rPr>
            </w:pPr>
            <w:r>
              <w:rPr>
                <w:rFonts w:hint="eastAsia" w:ascii="宋体" w:hAnsi="宋体" w:cs="宋体"/>
                <w:b/>
                <w:color w:val="000000"/>
                <w:kern w:val="0"/>
              </w:rPr>
              <w:t>备注</w:t>
            </w:r>
          </w:p>
        </w:tc>
      </w:tr>
      <w:tr w14:paraId="74A3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096533C">
            <w:pPr>
              <w:widowControl/>
              <w:jc w:val="left"/>
              <w:rPr>
                <w:rFonts w:ascii="宋体" w:hAnsi="宋体" w:cs="宋体"/>
                <w:b/>
                <w:color w:val="000000"/>
                <w:kern w:val="0"/>
              </w:rPr>
            </w:pPr>
          </w:p>
        </w:tc>
        <w:tc>
          <w:tcPr>
            <w:tcW w:w="1217" w:type="dxa"/>
          </w:tcPr>
          <w:p w14:paraId="3203FF89">
            <w:pPr>
              <w:widowControl/>
              <w:jc w:val="left"/>
              <w:rPr>
                <w:rFonts w:ascii="宋体" w:hAnsi="宋体" w:cs="宋体"/>
                <w:b/>
                <w:color w:val="000000"/>
                <w:kern w:val="0"/>
              </w:rPr>
            </w:pPr>
          </w:p>
        </w:tc>
        <w:tc>
          <w:tcPr>
            <w:tcW w:w="1217" w:type="dxa"/>
          </w:tcPr>
          <w:p w14:paraId="5E6F0355">
            <w:pPr>
              <w:widowControl/>
              <w:jc w:val="left"/>
              <w:rPr>
                <w:rFonts w:ascii="宋体" w:hAnsi="宋体" w:cs="宋体"/>
                <w:b/>
                <w:color w:val="000000"/>
                <w:kern w:val="0"/>
              </w:rPr>
            </w:pPr>
          </w:p>
        </w:tc>
        <w:tc>
          <w:tcPr>
            <w:tcW w:w="1217" w:type="dxa"/>
          </w:tcPr>
          <w:p w14:paraId="63DFC88A">
            <w:pPr>
              <w:widowControl/>
              <w:jc w:val="left"/>
              <w:rPr>
                <w:rFonts w:ascii="宋体" w:hAnsi="宋体" w:cs="宋体"/>
                <w:b/>
                <w:color w:val="000000"/>
                <w:kern w:val="0"/>
              </w:rPr>
            </w:pPr>
          </w:p>
        </w:tc>
        <w:tc>
          <w:tcPr>
            <w:tcW w:w="2018" w:type="dxa"/>
          </w:tcPr>
          <w:p w14:paraId="1B1D4F38">
            <w:pPr>
              <w:widowControl/>
              <w:jc w:val="left"/>
              <w:rPr>
                <w:rFonts w:ascii="宋体" w:hAnsi="宋体" w:cs="宋体"/>
                <w:b/>
                <w:color w:val="000000"/>
                <w:kern w:val="0"/>
              </w:rPr>
            </w:pPr>
          </w:p>
        </w:tc>
        <w:tc>
          <w:tcPr>
            <w:tcW w:w="1323" w:type="dxa"/>
          </w:tcPr>
          <w:p w14:paraId="4E74DF33">
            <w:pPr>
              <w:widowControl/>
              <w:jc w:val="left"/>
              <w:rPr>
                <w:rFonts w:ascii="宋体" w:hAnsi="宋体" w:cs="宋体"/>
                <w:b/>
                <w:color w:val="000000"/>
                <w:kern w:val="0"/>
              </w:rPr>
            </w:pPr>
          </w:p>
        </w:tc>
      </w:tr>
      <w:tr w14:paraId="6CBB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0C35804">
            <w:pPr>
              <w:widowControl/>
              <w:jc w:val="left"/>
              <w:rPr>
                <w:rFonts w:ascii="宋体" w:hAnsi="宋体" w:cs="宋体"/>
                <w:b/>
                <w:color w:val="000000"/>
                <w:kern w:val="0"/>
              </w:rPr>
            </w:pPr>
          </w:p>
        </w:tc>
        <w:tc>
          <w:tcPr>
            <w:tcW w:w="1217" w:type="dxa"/>
          </w:tcPr>
          <w:p w14:paraId="211478EE">
            <w:pPr>
              <w:widowControl/>
              <w:jc w:val="left"/>
              <w:rPr>
                <w:rFonts w:ascii="宋体" w:hAnsi="宋体" w:cs="宋体"/>
                <w:b/>
                <w:color w:val="000000"/>
                <w:kern w:val="0"/>
              </w:rPr>
            </w:pPr>
          </w:p>
        </w:tc>
        <w:tc>
          <w:tcPr>
            <w:tcW w:w="1217" w:type="dxa"/>
          </w:tcPr>
          <w:p w14:paraId="29701662">
            <w:pPr>
              <w:widowControl/>
              <w:jc w:val="left"/>
              <w:rPr>
                <w:rFonts w:ascii="宋体" w:hAnsi="宋体" w:cs="宋体"/>
                <w:b/>
                <w:color w:val="000000"/>
                <w:kern w:val="0"/>
              </w:rPr>
            </w:pPr>
          </w:p>
        </w:tc>
        <w:tc>
          <w:tcPr>
            <w:tcW w:w="1217" w:type="dxa"/>
          </w:tcPr>
          <w:p w14:paraId="4C1771DC">
            <w:pPr>
              <w:widowControl/>
              <w:jc w:val="left"/>
              <w:rPr>
                <w:rFonts w:ascii="宋体" w:hAnsi="宋体" w:cs="宋体"/>
                <w:b/>
                <w:color w:val="000000"/>
                <w:kern w:val="0"/>
              </w:rPr>
            </w:pPr>
          </w:p>
        </w:tc>
        <w:tc>
          <w:tcPr>
            <w:tcW w:w="2018" w:type="dxa"/>
          </w:tcPr>
          <w:p w14:paraId="3A77F0F8">
            <w:pPr>
              <w:widowControl/>
              <w:jc w:val="left"/>
              <w:rPr>
                <w:rFonts w:ascii="宋体" w:hAnsi="宋体" w:cs="宋体"/>
                <w:b/>
                <w:color w:val="000000"/>
                <w:kern w:val="0"/>
              </w:rPr>
            </w:pPr>
          </w:p>
        </w:tc>
        <w:tc>
          <w:tcPr>
            <w:tcW w:w="1323" w:type="dxa"/>
          </w:tcPr>
          <w:p w14:paraId="26643116">
            <w:pPr>
              <w:widowControl/>
              <w:jc w:val="left"/>
              <w:rPr>
                <w:rFonts w:ascii="宋体" w:hAnsi="宋体" w:cs="宋体"/>
                <w:b/>
                <w:color w:val="000000"/>
                <w:kern w:val="0"/>
              </w:rPr>
            </w:pPr>
          </w:p>
        </w:tc>
      </w:tr>
      <w:tr w14:paraId="4130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0B60EAF">
            <w:pPr>
              <w:widowControl/>
              <w:jc w:val="left"/>
              <w:rPr>
                <w:rFonts w:ascii="宋体" w:hAnsi="宋体" w:cs="宋体"/>
                <w:b/>
                <w:color w:val="000000"/>
                <w:kern w:val="0"/>
              </w:rPr>
            </w:pPr>
          </w:p>
        </w:tc>
        <w:tc>
          <w:tcPr>
            <w:tcW w:w="1217" w:type="dxa"/>
          </w:tcPr>
          <w:p w14:paraId="635E0FA3">
            <w:pPr>
              <w:widowControl/>
              <w:jc w:val="left"/>
              <w:rPr>
                <w:rFonts w:ascii="宋体" w:hAnsi="宋体" w:cs="宋体"/>
                <w:b/>
                <w:color w:val="000000"/>
                <w:kern w:val="0"/>
              </w:rPr>
            </w:pPr>
          </w:p>
        </w:tc>
        <w:tc>
          <w:tcPr>
            <w:tcW w:w="1217" w:type="dxa"/>
          </w:tcPr>
          <w:p w14:paraId="2A8AC5AC">
            <w:pPr>
              <w:widowControl/>
              <w:jc w:val="left"/>
              <w:rPr>
                <w:rFonts w:ascii="宋体" w:hAnsi="宋体" w:cs="宋体"/>
                <w:b/>
                <w:color w:val="000000"/>
                <w:kern w:val="0"/>
              </w:rPr>
            </w:pPr>
          </w:p>
        </w:tc>
        <w:tc>
          <w:tcPr>
            <w:tcW w:w="1217" w:type="dxa"/>
          </w:tcPr>
          <w:p w14:paraId="28CE142E">
            <w:pPr>
              <w:widowControl/>
              <w:jc w:val="left"/>
              <w:rPr>
                <w:rFonts w:ascii="宋体" w:hAnsi="宋体" w:cs="宋体"/>
                <w:b/>
                <w:color w:val="000000"/>
                <w:kern w:val="0"/>
              </w:rPr>
            </w:pPr>
          </w:p>
        </w:tc>
        <w:tc>
          <w:tcPr>
            <w:tcW w:w="2018" w:type="dxa"/>
          </w:tcPr>
          <w:p w14:paraId="04E8E123">
            <w:pPr>
              <w:widowControl/>
              <w:jc w:val="left"/>
              <w:rPr>
                <w:rFonts w:ascii="宋体" w:hAnsi="宋体" w:cs="宋体"/>
                <w:b/>
                <w:color w:val="000000"/>
                <w:kern w:val="0"/>
              </w:rPr>
            </w:pPr>
          </w:p>
        </w:tc>
        <w:tc>
          <w:tcPr>
            <w:tcW w:w="1323" w:type="dxa"/>
          </w:tcPr>
          <w:p w14:paraId="7511A692">
            <w:pPr>
              <w:widowControl/>
              <w:jc w:val="left"/>
              <w:rPr>
                <w:rFonts w:ascii="宋体" w:hAnsi="宋体" w:cs="宋体"/>
                <w:b/>
                <w:color w:val="000000"/>
                <w:kern w:val="0"/>
              </w:rPr>
            </w:pPr>
          </w:p>
        </w:tc>
      </w:tr>
      <w:tr w14:paraId="679F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FFBB5FE">
            <w:pPr>
              <w:widowControl/>
              <w:jc w:val="left"/>
              <w:rPr>
                <w:rFonts w:ascii="宋体" w:hAnsi="宋体" w:cs="宋体"/>
                <w:b/>
                <w:color w:val="000000"/>
                <w:kern w:val="0"/>
              </w:rPr>
            </w:pPr>
          </w:p>
        </w:tc>
        <w:tc>
          <w:tcPr>
            <w:tcW w:w="1217" w:type="dxa"/>
          </w:tcPr>
          <w:p w14:paraId="2681C81D">
            <w:pPr>
              <w:widowControl/>
              <w:jc w:val="left"/>
              <w:rPr>
                <w:rFonts w:ascii="宋体" w:hAnsi="宋体" w:cs="宋体"/>
                <w:b/>
                <w:color w:val="000000"/>
                <w:kern w:val="0"/>
              </w:rPr>
            </w:pPr>
          </w:p>
        </w:tc>
        <w:tc>
          <w:tcPr>
            <w:tcW w:w="1217" w:type="dxa"/>
          </w:tcPr>
          <w:p w14:paraId="5BE6B74E">
            <w:pPr>
              <w:widowControl/>
              <w:jc w:val="left"/>
              <w:rPr>
                <w:rFonts w:ascii="宋体" w:hAnsi="宋体" w:cs="宋体"/>
                <w:b/>
                <w:color w:val="000000"/>
                <w:kern w:val="0"/>
              </w:rPr>
            </w:pPr>
          </w:p>
        </w:tc>
        <w:tc>
          <w:tcPr>
            <w:tcW w:w="1217" w:type="dxa"/>
          </w:tcPr>
          <w:p w14:paraId="3D132312">
            <w:pPr>
              <w:widowControl/>
              <w:jc w:val="left"/>
              <w:rPr>
                <w:rFonts w:ascii="宋体" w:hAnsi="宋体" w:cs="宋体"/>
                <w:b/>
                <w:color w:val="000000"/>
                <w:kern w:val="0"/>
              </w:rPr>
            </w:pPr>
          </w:p>
        </w:tc>
        <w:tc>
          <w:tcPr>
            <w:tcW w:w="2018" w:type="dxa"/>
          </w:tcPr>
          <w:p w14:paraId="22354D6C">
            <w:pPr>
              <w:widowControl/>
              <w:jc w:val="left"/>
              <w:rPr>
                <w:rFonts w:ascii="宋体" w:hAnsi="宋体" w:cs="宋体"/>
                <w:b/>
                <w:color w:val="000000"/>
                <w:kern w:val="0"/>
              </w:rPr>
            </w:pPr>
          </w:p>
        </w:tc>
        <w:tc>
          <w:tcPr>
            <w:tcW w:w="1323" w:type="dxa"/>
          </w:tcPr>
          <w:p w14:paraId="71E7E094">
            <w:pPr>
              <w:widowControl/>
              <w:jc w:val="left"/>
              <w:rPr>
                <w:rFonts w:ascii="宋体" w:hAnsi="宋体" w:cs="宋体"/>
                <w:b/>
                <w:color w:val="000000"/>
                <w:kern w:val="0"/>
              </w:rPr>
            </w:pPr>
          </w:p>
        </w:tc>
      </w:tr>
    </w:tbl>
    <w:p w14:paraId="6CC04FBD">
      <w:pPr>
        <w:widowControl/>
        <w:jc w:val="left"/>
      </w:pPr>
    </w:p>
    <w:p w14:paraId="28BFF335">
      <w:pPr>
        <w:widowControl/>
        <w:jc w:val="left"/>
      </w:pPr>
    </w:p>
    <w:p w14:paraId="66E2014F">
      <w:pPr>
        <w:widowControl/>
        <w:jc w:val="left"/>
      </w:pPr>
    </w:p>
    <w:p w14:paraId="0759115D">
      <w:pPr>
        <w:widowControl/>
        <w:jc w:val="left"/>
      </w:pPr>
    </w:p>
    <w:p w14:paraId="7EFBD235">
      <w:pPr>
        <w:widowControl/>
        <w:jc w:val="left"/>
      </w:pPr>
    </w:p>
    <w:p w14:paraId="1DBC28A7">
      <w:pPr>
        <w:widowControl/>
        <w:jc w:val="left"/>
      </w:pPr>
    </w:p>
    <w:p w14:paraId="567049A3">
      <w:pPr>
        <w:widowControl/>
        <w:jc w:val="right"/>
      </w:pPr>
      <w:r>
        <w:rPr>
          <w:rFonts w:hint="eastAsia" w:ascii="宋体" w:hAnsi="宋体" w:cs="宋体"/>
          <w:color w:val="000000"/>
          <w:kern w:val="0"/>
        </w:rPr>
        <w:t xml:space="preserve">供应商名称： （盖章） </w:t>
      </w:r>
    </w:p>
    <w:p w14:paraId="2CC5CA2F">
      <w:pPr>
        <w:widowControl/>
        <w:jc w:val="left"/>
      </w:pPr>
      <w:r>
        <w:rPr>
          <w:rFonts w:hint="eastAsia" w:ascii="宋体" w:hAnsi="宋体" w:cs="宋体"/>
          <w:color w:val="000000"/>
          <w:kern w:val="0"/>
        </w:rPr>
        <w:t xml:space="preserve">说明： </w:t>
      </w:r>
    </w:p>
    <w:p w14:paraId="3AEA29FE">
      <w:pPr>
        <w:widowControl/>
        <w:jc w:val="left"/>
      </w:pPr>
      <w:r>
        <w:rPr>
          <w:rFonts w:hint="eastAsia" w:ascii="宋体" w:hAnsi="宋体" w:cs="宋体"/>
          <w:color w:val="000000"/>
          <w:kern w:val="0"/>
        </w:rPr>
        <w:t xml:space="preserve">1、此表为表样，行数可自行添加，但表式不变。 </w:t>
      </w:r>
    </w:p>
    <w:p w14:paraId="4459C299">
      <w:pPr>
        <w:widowControl/>
        <w:jc w:val="left"/>
      </w:pPr>
      <w:r>
        <w:rPr>
          <w:rFonts w:hint="eastAsia" w:ascii="宋体" w:hAnsi="宋体" w:cs="宋体"/>
          <w:color w:val="000000"/>
          <w:kern w:val="0"/>
        </w:rPr>
        <w:t>2、证明材料按磋商文件要求按序作为本表附页附后。</w:t>
      </w:r>
    </w:p>
    <w:p w14:paraId="428B52CE">
      <w:pPr>
        <w:pStyle w:val="26"/>
        <w:ind w:firstLine="420"/>
        <w:rPr>
          <w:rFonts w:ascii="宋体" w:hAnsi="宋体" w:cs="宋体"/>
          <w:color w:val="000000"/>
          <w:kern w:val="0"/>
          <w:szCs w:val="21"/>
          <w:lang w:val="en-US"/>
        </w:rPr>
      </w:pPr>
    </w:p>
    <w:p w14:paraId="75F47FE6">
      <w:pPr>
        <w:pStyle w:val="26"/>
        <w:ind w:firstLine="422"/>
        <w:rPr>
          <w:rFonts w:ascii="宋体" w:hAnsi="宋体" w:cs="宋体"/>
          <w:b/>
          <w:color w:val="000000"/>
          <w:kern w:val="0"/>
          <w:szCs w:val="21"/>
          <w:lang w:val="en-US"/>
        </w:rPr>
      </w:pPr>
    </w:p>
    <w:p w14:paraId="3FDB9D4E">
      <w:pPr>
        <w:pStyle w:val="26"/>
        <w:ind w:firstLine="422"/>
        <w:rPr>
          <w:rFonts w:ascii="宋体" w:hAnsi="宋体" w:cs="宋体"/>
          <w:b/>
          <w:color w:val="000000"/>
          <w:kern w:val="0"/>
          <w:szCs w:val="21"/>
          <w:lang w:val="en-US"/>
        </w:rPr>
      </w:pPr>
    </w:p>
    <w:p w14:paraId="672E91D3">
      <w:pPr>
        <w:pStyle w:val="26"/>
        <w:ind w:firstLine="422"/>
        <w:rPr>
          <w:rFonts w:ascii="宋体" w:hAnsi="宋体" w:cs="宋体"/>
          <w:b/>
          <w:color w:val="000000"/>
          <w:kern w:val="0"/>
          <w:szCs w:val="21"/>
          <w:lang w:val="en-US"/>
        </w:rPr>
      </w:pPr>
    </w:p>
    <w:p w14:paraId="009D395A">
      <w:pPr>
        <w:pStyle w:val="26"/>
        <w:ind w:firstLine="422"/>
        <w:rPr>
          <w:rFonts w:ascii="宋体" w:hAnsi="宋体" w:cs="宋体"/>
          <w:b/>
          <w:color w:val="000000"/>
          <w:kern w:val="0"/>
          <w:szCs w:val="21"/>
          <w:lang w:val="en-US"/>
        </w:rPr>
      </w:pPr>
    </w:p>
    <w:p w14:paraId="2AADE22D">
      <w:pPr>
        <w:pStyle w:val="26"/>
        <w:ind w:firstLine="422"/>
        <w:rPr>
          <w:rFonts w:ascii="宋体" w:hAnsi="宋体" w:cs="宋体"/>
          <w:b/>
          <w:color w:val="000000"/>
          <w:kern w:val="0"/>
          <w:szCs w:val="21"/>
          <w:lang w:val="en-US"/>
        </w:rPr>
      </w:pPr>
    </w:p>
    <w:p w14:paraId="6BCA9FD4">
      <w:pPr>
        <w:pStyle w:val="26"/>
        <w:ind w:firstLine="422"/>
        <w:rPr>
          <w:rFonts w:ascii="宋体" w:hAnsi="宋体" w:cs="宋体"/>
          <w:b/>
          <w:color w:val="000000"/>
          <w:kern w:val="0"/>
          <w:szCs w:val="21"/>
          <w:lang w:val="en-US"/>
        </w:rPr>
      </w:pPr>
    </w:p>
    <w:p w14:paraId="5762784B">
      <w:pPr>
        <w:pStyle w:val="26"/>
        <w:ind w:firstLine="422"/>
        <w:rPr>
          <w:rFonts w:ascii="宋体" w:hAnsi="宋体" w:cs="宋体"/>
          <w:b/>
          <w:color w:val="000000"/>
          <w:kern w:val="0"/>
          <w:szCs w:val="21"/>
          <w:lang w:val="en-US"/>
        </w:rPr>
      </w:pPr>
    </w:p>
    <w:p w14:paraId="77ADC99B">
      <w:pPr>
        <w:pStyle w:val="26"/>
        <w:ind w:firstLine="422"/>
        <w:rPr>
          <w:rFonts w:ascii="宋体" w:hAnsi="宋体" w:cs="宋体"/>
          <w:b/>
          <w:color w:val="000000"/>
          <w:kern w:val="0"/>
          <w:szCs w:val="21"/>
          <w:lang w:val="en-US"/>
        </w:rPr>
      </w:pPr>
    </w:p>
    <w:p w14:paraId="611C42E2">
      <w:pPr>
        <w:pStyle w:val="26"/>
        <w:ind w:firstLine="422"/>
        <w:rPr>
          <w:rFonts w:ascii="宋体" w:hAnsi="宋体" w:cs="宋体"/>
          <w:b/>
          <w:color w:val="000000"/>
          <w:kern w:val="0"/>
          <w:szCs w:val="21"/>
          <w:lang w:val="en-US"/>
        </w:rPr>
      </w:pPr>
    </w:p>
    <w:p w14:paraId="143EB072">
      <w:pPr>
        <w:pStyle w:val="26"/>
        <w:ind w:firstLine="422"/>
        <w:rPr>
          <w:rFonts w:ascii="宋体" w:hAnsi="宋体" w:cs="宋体"/>
          <w:b/>
          <w:color w:val="000000"/>
          <w:kern w:val="0"/>
          <w:szCs w:val="21"/>
          <w:lang w:val="en-US"/>
        </w:rPr>
      </w:pPr>
    </w:p>
    <w:p w14:paraId="4403BECF">
      <w:pPr>
        <w:pStyle w:val="26"/>
        <w:ind w:firstLine="422"/>
        <w:rPr>
          <w:rFonts w:ascii="宋体" w:hAnsi="宋体" w:cs="宋体"/>
          <w:b/>
          <w:color w:val="000000"/>
          <w:kern w:val="0"/>
          <w:szCs w:val="21"/>
          <w:lang w:val="en-US"/>
        </w:rPr>
      </w:pPr>
    </w:p>
    <w:p w14:paraId="5EBBEA48">
      <w:pPr>
        <w:pStyle w:val="26"/>
        <w:ind w:firstLine="422"/>
        <w:rPr>
          <w:rFonts w:ascii="宋体" w:hAnsi="宋体" w:cs="宋体"/>
          <w:b/>
          <w:color w:val="000000"/>
          <w:kern w:val="0"/>
          <w:szCs w:val="21"/>
          <w:lang w:val="en-US"/>
        </w:rPr>
      </w:pPr>
    </w:p>
    <w:p w14:paraId="6A17B940">
      <w:pPr>
        <w:pStyle w:val="26"/>
        <w:ind w:firstLine="422"/>
        <w:rPr>
          <w:rFonts w:ascii="宋体" w:hAnsi="宋体" w:cs="宋体"/>
          <w:b/>
          <w:color w:val="000000"/>
          <w:kern w:val="0"/>
          <w:szCs w:val="21"/>
          <w:lang w:val="en-US"/>
        </w:rPr>
      </w:pPr>
    </w:p>
    <w:p w14:paraId="2B2AB813">
      <w:pPr>
        <w:pStyle w:val="26"/>
        <w:ind w:firstLine="422"/>
        <w:rPr>
          <w:rFonts w:ascii="宋体" w:hAnsi="宋体" w:cs="宋体"/>
          <w:b/>
          <w:color w:val="000000"/>
          <w:kern w:val="0"/>
          <w:szCs w:val="21"/>
          <w:lang w:val="en-US"/>
        </w:rPr>
      </w:pPr>
    </w:p>
    <w:p w14:paraId="20E472FE">
      <w:pPr>
        <w:pStyle w:val="26"/>
        <w:ind w:firstLine="422"/>
        <w:rPr>
          <w:rFonts w:ascii="宋体" w:hAnsi="宋体" w:cs="宋体"/>
          <w:b/>
          <w:color w:val="000000"/>
          <w:kern w:val="0"/>
          <w:szCs w:val="21"/>
          <w:lang w:val="en-US"/>
        </w:rPr>
      </w:pPr>
    </w:p>
    <w:p w14:paraId="771C35B0">
      <w:pPr>
        <w:pStyle w:val="26"/>
        <w:ind w:firstLine="422"/>
        <w:rPr>
          <w:rFonts w:ascii="宋体" w:hAnsi="宋体" w:cs="宋体"/>
          <w:b/>
          <w:color w:val="000000"/>
          <w:kern w:val="0"/>
          <w:szCs w:val="21"/>
          <w:lang w:val="en-US"/>
        </w:rPr>
      </w:pPr>
    </w:p>
    <w:p w14:paraId="1044A2B7">
      <w:pPr>
        <w:pStyle w:val="26"/>
        <w:ind w:firstLine="422"/>
        <w:rPr>
          <w:rFonts w:ascii="宋体" w:hAnsi="宋体" w:cs="宋体"/>
          <w:b/>
          <w:color w:val="000000"/>
          <w:kern w:val="0"/>
          <w:szCs w:val="21"/>
          <w:lang w:val="en-US"/>
        </w:rPr>
      </w:pPr>
    </w:p>
    <w:p w14:paraId="34231109">
      <w:pPr>
        <w:pStyle w:val="26"/>
        <w:ind w:firstLine="422"/>
        <w:rPr>
          <w:rFonts w:ascii="宋体" w:hAnsi="宋体" w:cs="宋体"/>
          <w:b/>
          <w:color w:val="000000"/>
          <w:kern w:val="0"/>
          <w:szCs w:val="21"/>
          <w:lang w:val="en-US"/>
        </w:rPr>
      </w:pPr>
    </w:p>
    <w:p w14:paraId="405155D8">
      <w:pPr>
        <w:pStyle w:val="26"/>
        <w:ind w:firstLine="422"/>
        <w:rPr>
          <w:rFonts w:ascii="宋体" w:hAnsi="宋体" w:cs="宋体"/>
          <w:b/>
          <w:color w:val="000000"/>
          <w:kern w:val="0"/>
          <w:szCs w:val="21"/>
          <w:lang w:val="en-US"/>
        </w:rPr>
      </w:pPr>
    </w:p>
    <w:p w14:paraId="0B571591">
      <w:pPr>
        <w:pStyle w:val="26"/>
        <w:ind w:firstLine="422"/>
        <w:rPr>
          <w:rFonts w:ascii="宋体" w:hAnsi="宋体" w:cs="宋体"/>
          <w:b/>
          <w:color w:val="000000"/>
          <w:kern w:val="0"/>
          <w:szCs w:val="21"/>
          <w:lang w:val="en-US"/>
        </w:rPr>
      </w:pPr>
    </w:p>
    <w:p w14:paraId="26E303D7">
      <w:pPr>
        <w:pStyle w:val="26"/>
        <w:ind w:firstLine="422"/>
        <w:rPr>
          <w:rFonts w:ascii="宋体" w:hAnsi="宋体" w:cs="宋体"/>
          <w:b/>
          <w:color w:val="000000"/>
          <w:kern w:val="0"/>
          <w:szCs w:val="21"/>
          <w:lang w:val="en-US"/>
        </w:rPr>
      </w:pPr>
    </w:p>
    <w:p w14:paraId="6E17105E">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05DBC802">
      <w:pPr>
        <w:widowControl/>
        <w:jc w:val="left"/>
        <w:rPr>
          <w:rFonts w:ascii="宋体" w:hAnsi="宋体" w:cs="宋体"/>
          <w:color w:val="000000"/>
          <w:kern w:val="0"/>
          <w:sz w:val="24"/>
          <w:szCs w:val="24"/>
        </w:rPr>
      </w:pPr>
    </w:p>
    <w:p w14:paraId="5B94B0E5">
      <w:pPr>
        <w:widowControl/>
        <w:jc w:val="left"/>
        <w:rPr>
          <w:rFonts w:ascii="宋体" w:hAnsi="宋体" w:cs="宋体"/>
          <w:color w:val="000000"/>
          <w:kern w:val="0"/>
          <w:sz w:val="24"/>
          <w:szCs w:val="24"/>
        </w:rPr>
      </w:pPr>
    </w:p>
    <w:p w14:paraId="7253158F">
      <w:pPr>
        <w:widowControl/>
        <w:jc w:val="left"/>
        <w:rPr>
          <w:rFonts w:ascii="宋体" w:hAnsi="宋体" w:cs="宋体"/>
          <w:color w:val="000000"/>
          <w:kern w:val="0"/>
          <w:sz w:val="24"/>
          <w:szCs w:val="24"/>
        </w:rPr>
      </w:pPr>
    </w:p>
    <w:p w14:paraId="786EFD04">
      <w:pPr>
        <w:widowControl/>
        <w:jc w:val="left"/>
        <w:rPr>
          <w:rFonts w:ascii="宋体" w:hAnsi="宋体" w:cs="宋体"/>
          <w:color w:val="000000"/>
          <w:kern w:val="0"/>
          <w:sz w:val="24"/>
          <w:szCs w:val="24"/>
        </w:rPr>
      </w:pPr>
    </w:p>
    <w:p w14:paraId="54ED7C36">
      <w:pPr>
        <w:widowControl/>
        <w:jc w:val="left"/>
        <w:rPr>
          <w:rFonts w:ascii="宋体" w:hAnsi="宋体" w:cs="宋体"/>
          <w:color w:val="000000"/>
          <w:kern w:val="0"/>
          <w:sz w:val="24"/>
          <w:szCs w:val="24"/>
        </w:rPr>
      </w:pPr>
    </w:p>
    <w:p w14:paraId="35C303E7">
      <w:pPr>
        <w:widowControl/>
        <w:jc w:val="left"/>
        <w:rPr>
          <w:rFonts w:ascii="宋体" w:hAnsi="宋体" w:cs="宋体"/>
          <w:color w:val="000000"/>
          <w:kern w:val="0"/>
          <w:sz w:val="24"/>
          <w:szCs w:val="24"/>
        </w:rPr>
      </w:pPr>
    </w:p>
    <w:p w14:paraId="1579780F">
      <w:pPr>
        <w:widowControl/>
        <w:jc w:val="left"/>
        <w:rPr>
          <w:rFonts w:ascii="宋体" w:hAnsi="宋体" w:cs="宋体"/>
          <w:color w:val="000000"/>
          <w:kern w:val="0"/>
          <w:sz w:val="24"/>
          <w:szCs w:val="24"/>
        </w:rPr>
      </w:pPr>
    </w:p>
    <w:p w14:paraId="6FFF8155">
      <w:pPr>
        <w:widowControl/>
        <w:jc w:val="left"/>
        <w:rPr>
          <w:rFonts w:ascii="宋体" w:hAnsi="宋体" w:cs="宋体"/>
          <w:color w:val="000000"/>
          <w:kern w:val="0"/>
          <w:sz w:val="24"/>
          <w:szCs w:val="24"/>
        </w:rPr>
      </w:pPr>
    </w:p>
    <w:p w14:paraId="38118853">
      <w:pPr>
        <w:widowControl/>
        <w:jc w:val="left"/>
        <w:rPr>
          <w:rFonts w:ascii="宋体" w:hAnsi="宋体" w:cs="宋体"/>
          <w:color w:val="000000"/>
          <w:kern w:val="0"/>
          <w:sz w:val="24"/>
          <w:szCs w:val="24"/>
        </w:rPr>
      </w:pPr>
    </w:p>
    <w:p w14:paraId="13A7A81B">
      <w:pPr>
        <w:widowControl/>
        <w:jc w:val="left"/>
        <w:rPr>
          <w:rFonts w:ascii="宋体" w:hAnsi="宋体" w:cs="宋体"/>
          <w:color w:val="000000"/>
          <w:kern w:val="0"/>
          <w:sz w:val="24"/>
          <w:szCs w:val="24"/>
        </w:rPr>
      </w:pPr>
    </w:p>
    <w:p w14:paraId="21E8C005">
      <w:pPr>
        <w:widowControl/>
        <w:jc w:val="left"/>
        <w:rPr>
          <w:rFonts w:ascii="宋体" w:hAnsi="宋体" w:cs="宋体"/>
          <w:color w:val="000000"/>
          <w:kern w:val="0"/>
          <w:sz w:val="24"/>
          <w:szCs w:val="24"/>
        </w:rPr>
      </w:pPr>
    </w:p>
    <w:p w14:paraId="791B39BC">
      <w:pPr>
        <w:widowControl/>
        <w:jc w:val="left"/>
        <w:rPr>
          <w:rFonts w:ascii="宋体" w:hAnsi="宋体" w:cs="宋体"/>
          <w:color w:val="000000"/>
          <w:kern w:val="0"/>
          <w:sz w:val="24"/>
          <w:szCs w:val="24"/>
        </w:rPr>
      </w:pPr>
    </w:p>
    <w:p w14:paraId="2482CACC">
      <w:pPr>
        <w:widowControl/>
        <w:jc w:val="left"/>
        <w:rPr>
          <w:rFonts w:ascii="宋体" w:hAnsi="宋体" w:cs="宋体"/>
          <w:color w:val="000000"/>
          <w:kern w:val="0"/>
          <w:sz w:val="24"/>
          <w:szCs w:val="24"/>
        </w:rPr>
      </w:pPr>
    </w:p>
    <w:p w14:paraId="48AAC45B">
      <w:pPr>
        <w:widowControl/>
        <w:jc w:val="left"/>
        <w:rPr>
          <w:rFonts w:ascii="宋体" w:hAnsi="宋体" w:cs="宋体"/>
          <w:color w:val="000000"/>
          <w:kern w:val="0"/>
          <w:sz w:val="24"/>
          <w:szCs w:val="24"/>
        </w:rPr>
      </w:pPr>
    </w:p>
    <w:p w14:paraId="5A3BC580">
      <w:pPr>
        <w:widowControl/>
        <w:jc w:val="left"/>
        <w:rPr>
          <w:rFonts w:ascii="宋体" w:hAnsi="宋体" w:cs="宋体"/>
          <w:color w:val="000000"/>
          <w:kern w:val="0"/>
          <w:sz w:val="24"/>
          <w:szCs w:val="24"/>
        </w:rPr>
      </w:pPr>
    </w:p>
    <w:p w14:paraId="4214B5AA">
      <w:pPr>
        <w:widowControl/>
        <w:jc w:val="right"/>
      </w:pPr>
      <w:r>
        <w:rPr>
          <w:rFonts w:hint="eastAsia" w:ascii="宋体" w:hAnsi="宋体" w:cs="宋体"/>
          <w:color w:val="000000"/>
          <w:kern w:val="0"/>
          <w:sz w:val="24"/>
          <w:szCs w:val="24"/>
        </w:rPr>
        <w:t xml:space="preserve">供应商名称： （加盖公章） </w:t>
      </w:r>
    </w:p>
    <w:p w14:paraId="2F89FF65">
      <w:pPr>
        <w:widowControl/>
        <w:jc w:val="left"/>
        <w:rPr>
          <w:rFonts w:ascii="宋体" w:hAnsi="宋体" w:cs="宋体"/>
          <w:b/>
          <w:color w:val="000000"/>
          <w:kern w:val="0"/>
          <w:sz w:val="28"/>
          <w:szCs w:val="28"/>
        </w:rPr>
      </w:pPr>
    </w:p>
    <w:p w14:paraId="5C1787DA">
      <w:pPr>
        <w:widowControl/>
        <w:jc w:val="left"/>
        <w:rPr>
          <w:rFonts w:ascii="宋体" w:hAnsi="宋体" w:cs="宋体"/>
          <w:b/>
          <w:color w:val="000000"/>
          <w:kern w:val="0"/>
          <w:sz w:val="28"/>
          <w:szCs w:val="28"/>
        </w:rPr>
      </w:pPr>
    </w:p>
    <w:p w14:paraId="0DC39EF3">
      <w:pPr>
        <w:widowControl/>
        <w:jc w:val="left"/>
        <w:rPr>
          <w:rFonts w:ascii="宋体" w:hAnsi="宋体" w:cs="宋体"/>
          <w:b/>
          <w:color w:val="000000"/>
          <w:kern w:val="0"/>
          <w:sz w:val="28"/>
          <w:szCs w:val="28"/>
        </w:rPr>
      </w:pPr>
    </w:p>
    <w:p w14:paraId="24B58135">
      <w:pPr>
        <w:widowControl/>
        <w:jc w:val="left"/>
      </w:pPr>
      <w:r>
        <w:rPr>
          <w:rFonts w:hint="eastAsia" w:ascii="宋体" w:hAnsi="宋体" w:cs="宋体"/>
          <w:b/>
          <w:color w:val="000000"/>
          <w:kern w:val="0"/>
          <w:sz w:val="28"/>
          <w:szCs w:val="28"/>
        </w:rPr>
        <w:t xml:space="preserve">未提供或未按要求提供以上材料的，将不能通过资格审查。 </w:t>
      </w:r>
    </w:p>
    <w:p w14:paraId="622A992E">
      <w:pPr>
        <w:pStyle w:val="26"/>
        <w:ind w:firstLine="0" w:firstLineChars="0"/>
        <w:rPr>
          <w:rFonts w:ascii="宋体" w:hAnsi="宋体" w:cs="宋体"/>
          <w:b/>
          <w:color w:val="000000"/>
          <w:kern w:val="0"/>
          <w:szCs w:val="21"/>
          <w:lang w:val="en-US"/>
        </w:rPr>
      </w:pPr>
    </w:p>
    <w:p w14:paraId="17436C21">
      <w:pPr>
        <w:pStyle w:val="26"/>
        <w:ind w:firstLine="0" w:firstLineChars="0"/>
        <w:rPr>
          <w:rFonts w:ascii="宋体" w:hAnsi="宋体" w:cs="宋体"/>
          <w:b/>
          <w:color w:val="000000"/>
          <w:kern w:val="0"/>
          <w:szCs w:val="21"/>
          <w:lang w:val="en-US"/>
        </w:rPr>
      </w:pPr>
    </w:p>
    <w:p w14:paraId="1097EF7B">
      <w:pPr>
        <w:pStyle w:val="26"/>
        <w:ind w:firstLine="0" w:firstLineChars="0"/>
        <w:rPr>
          <w:rFonts w:ascii="宋体" w:hAnsi="宋体" w:cs="宋体"/>
          <w:b/>
          <w:color w:val="000000"/>
          <w:kern w:val="0"/>
          <w:szCs w:val="21"/>
          <w:lang w:val="en-US"/>
        </w:rPr>
      </w:pPr>
    </w:p>
    <w:p w14:paraId="2FCAEBB8">
      <w:pPr>
        <w:pStyle w:val="26"/>
        <w:ind w:firstLine="0" w:firstLineChars="0"/>
        <w:rPr>
          <w:rFonts w:ascii="宋体" w:hAnsi="宋体" w:cs="宋体"/>
          <w:b/>
          <w:color w:val="000000"/>
          <w:kern w:val="0"/>
          <w:szCs w:val="21"/>
          <w:lang w:val="en-US"/>
        </w:rPr>
      </w:pPr>
    </w:p>
    <w:p w14:paraId="16C1C7DD">
      <w:pPr>
        <w:pStyle w:val="26"/>
        <w:ind w:firstLine="0" w:firstLineChars="0"/>
        <w:rPr>
          <w:rFonts w:ascii="宋体" w:hAnsi="宋体" w:cs="宋体"/>
          <w:b/>
          <w:color w:val="000000"/>
          <w:kern w:val="0"/>
          <w:szCs w:val="21"/>
          <w:lang w:val="en-US"/>
        </w:rPr>
      </w:pPr>
    </w:p>
    <w:p w14:paraId="231D30D8">
      <w:pPr>
        <w:pStyle w:val="26"/>
        <w:ind w:firstLine="0" w:firstLineChars="0"/>
        <w:rPr>
          <w:rFonts w:ascii="宋体" w:hAnsi="宋体" w:cs="宋体"/>
          <w:b/>
          <w:color w:val="000000"/>
          <w:kern w:val="0"/>
          <w:szCs w:val="21"/>
          <w:lang w:val="en-US"/>
        </w:rPr>
      </w:pPr>
    </w:p>
    <w:p w14:paraId="31E793DB">
      <w:pPr>
        <w:pStyle w:val="26"/>
        <w:ind w:firstLine="0" w:firstLineChars="0"/>
        <w:rPr>
          <w:rFonts w:ascii="宋体" w:hAnsi="宋体" w:cs="宋体"/>
          <w:b/>
          <w:color w:val="000000"/>
          <w:kern w:val="0"/>
          <w:szCs w:val="21"/>
          <w:lang w:val="en-US"/>
        </w:rPr>
      </w:pPr>
    </w:p>
    <w:p w14:paraId="1C1FF3AE">
      <w:pPr>
        <w:pStyle w:val="26"/>
        <w:ind w:firstLine="0" w:firstLineChars="0"/>
        <w:rPr>
          <w:rFonts w:ascii="宋体" w:hAnsi="宋体" w:cs="宋体"/>
          <w:b/>
          <w:color w:val="000000"/>
          <w:kern w:val="0"/>
          <w:szCs w:val="21"/>
          <w:lang w:val="en-US"/>
        </w:rPr>
      </w:pPr>
    </w:p>
    <w:p w14:paraId="10D419C1">
      <w:pPr>
        <w:pStyle w:val="26"/>
        <w:ind w:firstLine="0" w:firstLineChars="0"/>
        <w:rPr>
          <w:rFonts w:ascii="宋体" w:hAnsi="宋体" w:cs="宋体"/>
          <w:b/>
          <w:color w:val="000000"/>
          <w:kern w:val="0"/>
          <w:szCs w:val="21"/>
          <w:lang w:val="en-US"/>
        </w:rPr>
      </w:pPr>
    </w:p>
    <w:p w14:paraId="33ECB5CA">
      <w:pPr>
        <w:pStyle w:val="26"/>
        <w:ind w:firstLine="0" w:firstLineChars="0"/>
        <w:rPr>
          <w:rFonts w:ascii="宋体" w:hAnsi="宋体" w:cs="宋体"/>
          <w:b/>
          <w:color w:val="000000"/>
          <w:kern w:val="0"/>
          <w:szCs w:val="21"/>
          <w:lang w:val="en-US"/>
        </w:rPr>
      </w:pPr>
    </w:p>
    <w:p w14:paraId="1B06D476">
      <w:pPr>
        <w:pStyle w:val="26"/>
        <w:ind w:firstLine="0" w:firstLineChars="0"/>
        <w:rPr>
          <w:rFonts w:ascii="宋体" w:hAnsi="宋体" w:cs="宋体"/>
          <w:b/>
          <w:color w:val="000000"/>
          <w:kern w:val="0"/>
          <w:szCs w:val="21"/>
          <w:lang w:val="en-US"/>
        </w:rPr>
      </w:pPr>
    </w:p>
    <w:p w14:paraId="701170AE">
      <w:pPr>
        <w:pStyle w:val="26"/>
        <w:ind w:firstLine="0" w:firstLineChars="0"/>
        <w:rPr>
          <w:rFonts w:ascii="宋体" w:hAnsi="宋体" w:cs="宋体"/>
          <w:b/>
          <w:color w:val="000000"/>
          <w:kern w:val="0"/>
          <w:szCs w:val="21"/>
          <w:lang w:val="en-US"/>
        </w:rPr>
      </w:pPr>
    </w:p>
    <w:p w14:paraId="681CBDCB">
      <w:pPr>
        <w:pStyle w:val="26"/>
        <w:ind w:firstLine="0" w:firstLineChars="0"/>
        <w:rPr>
          <w:rFonts w:ascii="宋体" w:hAnsi="宋体" w:cs="宋体"/>
          <w:b/>
          <w:color w:val="000000"/>
          <w:kern w:val="0"/>
          <w:szCs w:val="21"/>
          <w:lang w:val="en-US"/>
        </w:rPr>
      </w:pPr>
    </w:p>
    <w:p w14:paraId="31A9F4E1">
      <w:pPr>
        <w:pStyle w:val="26"/>
        <w:ind w:firstLine="0" w:firstLineChars="0"/>
        <w:rPr>
          <w:rFonts w:ascii="宋体" w:hAnsi="宋体" w:cs="宋体"/>
          <w:b/>
          <w:color w:val="000000"/>
          <w:kern w:val="0"/>
          <w:szCs w:val="21"/>
          <w:lang w:val="en-US"/>
        </w:rPr>
      </w:pPr>
    </w:p>
    <w:p w14:paraId="6024374D">
      <w:pPr>
        <w:pStyle w:val="26"/>
        <w:ind w:firstLine="0" w:firstLineChars="0"/>
        <w:rPr>
          <w:rFonts w:ascii="宋体" w:hAnsi="宋体" w:cs="宋体"/>
          <w:b/>
          <w:color w:val="000000"/>
          <w:kern w:val="0"/>
          <w:szCs w:val="21"/>
          <w:lang w:val="en-US"/>
        </w:rPr>
      </w:pPr>
    </w:p>
    <w:p w14:paraId="686A5D76">
      <w:pPr>
        <w:pStyle w:val="26"/>
        <w:ind w:firstLine="0" w:firstLineChars="0"/>
        <w:rPr>
          <w:rFonts w:ascii="宋体" w:hAnsi="宋体" w:cs="宋体"/>
          <w:b/>
          <w:color w:val="000000"/>
          <w:kern w:val="0"/>
          <w:szCs w:val="21"/>
          <w:lang w:val="en-US"/>
        </w:rPr>
      </w:pPr>
    </w:p>
    <w:p w14:paraId="53906590">
      <w:pPr>
        <w:pStyle w:val="26"/>
        <w:ind w:firstLine="0" w:firstLineChars="0"/>
        <w:rPr>
          <w:rFonts w:ascii="宋体" w:hAnsi="宋体" w:cs="宋体"/>
          <w:b/>
          <w:color w:val="000000"/>
          <w:kern w:val="0"/>
          <w:szCs w:val="21"/>
          <w:lang w:val="en-US"/>
        </w:rPr>
      </w:pPr>
    </w:p>
    <w:p w14:paraId="65951C27">
      <w:pPr>
        <w:pStyle w:val="26"/>
        <w:ind w:firstLine="0" w:firstLineChars="0"/>
        <w:rPr>
          <w:rFonts w:ascii="宋体" w:hAnsi="宋体" w:cs="宋体"/>
          <w:b/>
          <w:color w:val="000000"/>
          <w:kern w:val="0"/>
          <w:szCs w:val="21"/>
          <w:lang w:val="en-US"/>
        </w:rPr>
      </w:pPr>
    </w:p>
    <w:p w14:paraId="2465F204">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760241DE">
      <w:pPr>
        <w:widowControl/>
        <w:spacing w:line="360" w:lineRule="auto"/>
        <w:ind w:firstLine="420" w:firstLineChars="200"/>
        <w:jc w:val="left"/>
      </w:pPr>
      <w:r>
        <w:rPr>
          <w:rFonts w:hint="eastAsia" w:ascii="宋体" w:hAnsi="宋体" w:cs="宋体"/>
          <w:color w:val="000000"/>
          <w:kern w:val="0"/>
        </w:rPr>
        <w:t>致：南京市疾病预防控制中心</w:t>
      </w:r>
    </w:p>
    <w:p w14:paraId="4FA5C740">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25D9C7C8">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2ED1FBDB">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48B7BCE0">
      <w:pPr>
        <w:widowControl/>
        <w:spacing w:line="360" w:lineRule="auto"/>
        <w:ind w:firstLine="420" w:firstLineChars="200"/>
        <w:jc w:val="right"/>
        <w:rPr>
          <w:rFonts w:ascii="宋体" w:hAnsi="宋体" w:cs="宋体"/>
          <w:color w:val="000000"/>
          <w:kern w:val="0"/>
        </w:rPr>
      </w:pPr>
    </w:p>
    <w:p w14:paraId="4BD5BFAE">
      <w:pPr>
        <w:widowControl/>
        <w:spacing w:line="360" w:lineRule="auto"/>
        <w:ind w:firstLine="420" w:firstLineChars="200"/>
        <w:jc w:val="right"/>
        <w:rPr>
          <w:rFonts w:ascii="宋体" w:hAnsi="宋体" w:cs="宋体"/>
          <w:color w:val="000000"/>
          <w:kern w:val="0"/>
        </w:rPr>
      </w:pPr>
    </w:p>
    <w:p w14:paraId="62275C09">
      <w:pPr>
        <w:widowControl/>
        <w:spacing w:line="360" w:lineRule="auto"/>
        <w:ind w:firstLine="420" w:firstLineChars="200"/>
        <w:jc w:val="right"/>
        <w:rPr>
          <w:rFonts w:ascii="宋体" w:hAnsi="宋体" w:cs="宋体"/>
          <w:color w:val="000000"/>
          <w:kern w:val="0"/>
        </w:rPr>
      </w:pPr>
    </w:p>
    <w:p w14:paraId="1B02BFB4">
      <w:pPr>
        <w:widowControl/>
        <w:spacing w:line="360" w:lineRule="auto"/>
        <w:ind w:firstLine="420" w:firstLineChars="200"/>
        <w:jc w:val="right"/>
        <w:rPr>
          <w:rFonts w:ascii="宋体" w:hAnsi="宋体" w:cs="宋体"/>
          <w:color w:val="000000"/>
          <w:kern w:val="0"/>
        </w:rPr>
      </w:pPr>
    </w:p>
    <w:p w14:paraId="53812E96">
      <w:pPr>
        <w:widowControl/>
        <w:spacing w:line="360" w:lineRule="auto"/>
        <w:ind w:firstLine="420" w:firstLineChars="200"/>
        <w:jc w:val="right"/>
      </w:pPr>
      <w:r>
        <w:rPr>
          <w:rFonts w:hint="eastAsia" w:ascii="宋体" w:hAnsi="宋体" w:cs="宋体"/>
          <w:color w:val="000000"/>
          <w:kern w:val="0"/>
        </w:rPr>
        <w:t xml:space="preserve">声明人：（公章） </w:t>
      </w:r>
    </w:p>
    <w:p w14:paraId="1DE5144D">
      <w:pPr>
        <w:widowControl/>
        <w:spacing w:line="360" w:lineRule="auto"/>
        <w:ind w:firstLine="420" w:firstLineChars="200"/>
        <w:jc w:val="right"/>
      </w:pPr>
      <w:r>
        <w:rPr>
          <w:rFonts w:hint="eastAsia" w:ascii="宋体" w:hAnsi="宋体" w:cs="宋体"/>
          <w:color w:val="000000"/>
          <w:kern w:val="0"/>
        </w:rPr>
        <w:t xml:space="preserve">年 月 日 </w:t>
      </w:r>
    </w:p>
    <w:p w14:paraId="78487F59">
      <w:pPr>
        <w:pStyle w:val="26"/>
        <w:spacing w:line="360" w:lineRule="auto"/>
        <w:ind w:firstLine="422"/>
        <w:rPr>
          <w:rFonts w:ascii="宋体" w:hAnsi="宋体" w:cs="宋体"/>
          <w:b/>
          <w:color w:val="000000"/>
          <w:kern w:val="0"/>
          <w:szCs w:val="21"/>
          <w:lang w:val="en-US"/>
        </w:rPr>
      </w:pPr>
    </w:p>
    <w:p w14:paraId="104A6E13"/>
    <w:p w14:paraId="126D8262">
      <w:pPr>
        <w:widowControl/>
        <w:jc w:val="left"/>
        <w:rPr>
          <w:rFonts w:ascii="仿宋" w:hAnsi="仿宋" w:eastAsia="仿宋"/>
          <w:sz w:val="24"/>
          <w:szCs w:val="28"/>
        </w:rPr>
      </w:pPr>
    </w:p>
    <w:p w14:paraId="0E2F94EA">
      <w:pPr>
        <w:widowControl/>
        <w:jc w:val="left"/>
        <w:rPr>
          <w:rFonts w:ascii="仿宋" w:hAnsi="仿宋" w:eastAsia="仿宋"/>
          <w:sz w:val="24"/>
          <w:szCs w:val="28"/>
        </w:rPr>
      </w:pPr>
    </w:p>
    <w:p w14:paraId="52708808">
      <w:pPr>
        <w:widowControl/>
        <w:jc w:val="left"/>
        <w:rPr>
          <w:rFonts w:ascii="仿宋" w:hAnsi="仿宋" w:eastAsia="仿宋"/>
          <w:sz w:val="24"/>
          <w:szCs w:val="28"/>
        </w:rPr>
      </w:pPr>
    </w:p>
    <w:p w14:paraId="421F8F7F">
      <w:pPr>
        <w:widowControl/>
        <w:jc w:val="left"/>
        <w:rPr>
          <w:rFonts w:ascii="仿宋" w:hAnsi="仿宋" w:eastAsia="仿宋"/>
          <w:sz w:val="24"/>
          <w:szCs w:val="28"/>
        </w:rPr>
      </w:pPr>
    </w:p>
    <w:p w14:paraId="4FD0C6E3">
      <w:pPr>
        <w:widowControl/>
        <w:jc w:val="left"/>
        <w:rPr>
          <w:rFonts w:ascii="仿宋" w:hAnsi="仿宋" w:eastAsia="仿宋"/>
          <w:sz w:val="24"/>
          <w:szCs w:val="28"/>
        </w:rPr>
      </w:pPr>
    </w:p>
    <w:p w14:paraId="176AE4CF">
      <w:pPr>
        <w:widowControl/>
        <w:jc w:val="left"/>
        <w:rPr>
          <w:rFonts w:ascii="仿宋" w:hAnsi="仿宋" w:eastAsia="仿宋"/>
          <w:sz w:val="24"/>
          <w:szCs w:val="28"/>
        </w:rPr>
      </w:pPr>
    </w:p>
    <w:p w14:paraId="7AD893B7">
      <w:pPr>
        <w:widowControl/>
        <w:jc w:val="left"/>
        <w:rPr>
          <w:rFonts w:ascii="仿宋" w:hAnsi="仿宋" w:eastAsia="仿宋"/>
          <w:sz w:val="24"/>
          <w:szCs w:val="28"/>
        </w:rPr>
      </w:pPr>
    </w:p>
    <w:p w14:paraId="61A7CE5C">
      <w:pPr>
        <w:widowControl/>
        <w:jc w:val="left"/>
        <w:rPr>
          <w:rFonts w:ascii="仿宋" w:hAnsi="仿宋" w:eastAsia="仿宋"/>
          <w:sz w:val="24"/>
          <w:szCs w:val="28"/>
        </w:rPr>
      </w:pPr>
    </w:p>
    <w:p w14:paraId="7DA49B6D">
      <w:pPr>
        <w:widowControl/>
        <w:jc w:val="left"/>
        <w:rPr>
          <w:rFonts w:ascii="仿宋" w:hAnsi="仿宋" w:eastAsia="仿宋"/>
          <w:sz w:val="24"/>
          <w:szCs w:val="28"/>
        </w:rPr>
      </w:pPr>
    </w:p>
    <w:p w14:paraId="2EEB960A">
      <w:pPr>
        <w:widowControl/>
        <w:jc w:val="left"/>
        <w:rPr>
          <w:rFonts w:ascii="仿宋" w:hAnsi="仿宋" w:eastAsia="仿宋"/>
          <w:sz w:val="24"/>
          <w:szCs w:val="28"/>
        </w:rPr>
      </w:pPr>
    </w:p>
    <w:p w14:paraId="1EE7D7C6">
      <w:pPr>
        <w:widowControl/>
        <w:jc w:val="left"/>
        <w:rPr>
          <w:rFonts w:ascii="仿宋" w:hAnsi="仿宋" w:eastAsia="仿宋"/>
          <w:sz w:val="24"/>
          <w:szCs w:val="28"/>
        </w:rPr>
      </w:pPr>
    </w:p>
    <w:p w14:paraId="3F4D8E1D">
      <w:pPr>
        <w:widowControl/>
        <w:jc w:val="left"/>
        <w:rPr>
          <w:rFonts w:ascii="仿宋" w:hAnsi="仿宋" w:eastAsia="仿宋"/>
          <w:sz w:val="24"/>
          <w:szCs w:val="28"/>
        </w:rPr>
      </w:pPr>
    </w:p>
    <w:p w14:paraId="1D51B771">
      <w:pPr>
        <w:widowControl/>
        <w:jc w:val="left"/>
        <w:rPr>
          <w:rFonts w:ascii="仿宋" w:hAnsi="仿宋" w:eastAsia="仿宋"/>
          <w:sz w:val="24"/>
          <w:szCs w:val="28"/>
        </w:rPr>
      </w:pPr>
    </w:p>
    <w:p w14:paraId="62F739C6">
      <w:pPr>
        <w:widowControl/>
        <w:jc w:val="left"/>
        <w:rPr>
          <w:rFonts w:ascii="仿宋" w:hAnsi="仿宋" w:eastAsia="仿宋"/>
          <w:sz w:val="24"/>
          <w:szCs w:val="28"/>
        </w:rPr>
      </w:pPr>
    </w:p>
    <w:p w14:paraId="417044F6">
      <w:pPr>
        <w:widowControl/>
        <w:jc w:val="left"/>
        <w:rPr>
          <w:rFonts w:ascii="仿宋" w:hAnsi="仿宋" w:eastAsia="仿宋"/>
          <w:sz w:val="24"/>
          <w:szCs w:val="28"/>
        </w:rPr>
      </w:pPr>
    </w:p>
    <w:p w14:paraId="0B1257A7">
      <w:pPr>
        <w:widowControl/>
        <w:jc w:val="left"/>
        <w:rPr>
          <w:rFonts w:ascii="仿宋" w:hAnsi="仿宋" w:eastAsia="仿宋"/>
          <w:sz w:val="24"/>
          <w:szCs w:val="28"/>
        </w:rPr>
      </w:pPr>
    </w:p>
    <w:p w14:paraId="59B963AE">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第四章 合同模板</w:t>
      </w:r>
    </w:p>
    <w:p w14:paraId="3831E506">
      <w:pPr>
        <w:widowControl/>
        <w:jc w:val="left"/>
        <w:rPr>
          <w:rFonts w:ascii="仿宋" w:hAnsi="仿宋" w:eastAsia="仿宋"/>
          <w:sz w:val="24"/>
          <w:szCs w:val="28"/>
        </w:rPr>
      </w:pPr>
    </w:p>
    <w:p w14:paraId="6D2BF6B6">
      <w:pPr>
        <w:jc w:val="center"/>
        <w:rPr>
          <w:rFonts w:ascii="宋体" w:hAnsi="宋体" w:cs="宋体"/>
          <w:b/>
          <w:bCs/>
          <w:sz w:val="48"/>
          <w:szCs w:val="48"/>
        </w:rPr>
      </w:pPr>
      <w:r>
        <w:rPr>
          <w:rFonts w:hint="eastAsia" w:ascii="宋体" w:hAnsi="宋体" w:cs="宋体"/>
          <w:b/>
          <w:bCs/>
          <w:sz w:val="48"/>
          <w:szCs w:val="48"/>
        </w:rPr>
        <w:t>采购合同</w:t>
      </w:r>
    </w:p>
    <w:p w14:paraId="4AA494A9">
      <w:pPr>
        <w:pStyle w:val="9"/>
        <w:ind w:left="1260"/>
      </w:pPr>
    </w:p>
    <w:tbl>
      <w:tblPr>
        <w:tblStyle w:val="21"/>
        <w:tblW w:w="8931" w:type="dxa"/>
        <w:tblInd w:w="-142" w:type="dxa"/>
        <w:tblLayout w:type="fixed"/>
        <w:tblCellMar>
          <w:top w:w="0" w:type="dxa"/>
          <w:left w:w="0" w:type="dxa"/>
          <w:bottom w:w="0" w:type="dxa"/>
          <w:right w:w="0" w:type="dxa"/>
        </w:tblCellMar>
      </w:tblPr>
      <w:tblGrid>
        <w:gridCol w:w="4447"/>
        <w:gridCol w:w="4484"/>
      </w:tblGrid>
      <w:tr w14:paraId="5E99DA9A">
        <w:tblPrEx>
          <w:tblCellMar>
            <w:top w:w="0" w:type="dxa"/>
            <w:left w:w="0" w:type="dxa"/>
            <w:bottom w:w="0" w:type="dxa"/>
            <w:right w:w="0" w:type="dxa"/>
          </w:tblCellMar>
        </w:tblPrEx>
        <w:tc>
          <w:tcPr>
            <w:tcW w:w="4447" w:type="dxa"/>
            <w:tcBorders>
              <w:top w:val="nil"/>
              <w:left w:val="nil"/>
              <w:bottom w:val="nil"/>
              <w:right w:val="nil"/>
            </w:tcBorders>
            <w:noWrap/>
          </w:tcPr>
          <w:p w14:paraId="26E7EAA4">
            <w:pPr>
              <w:spacing w:line="500" w:lineRule="exact"/>
              <w:rPr>
                <w:color w:val="000000"/>
                <w:lang w:val="zh-CN"/>
              </w:rPr>
            </w:pPr>
            <w:r>
              <w:rPr>
                <w:rFonts w:hint="eastAsia" w:hAnsi="宋体"/>
                <w:color w:val="000000"/>
                <w:lang w:val="zh-CN"/>
              </w:rPr>
              <w:t xml:space="preserve">采购人（以下称甲方）南京市疾病预防控制中心 </w:t>
            </w:r>
          </w:p>
        </w:tc>
        <w:tc>
          <w:tcPr>
            <w:tcW w:w="4484" w:type="dxa"/>
            <w:tcBorders>
              <w:top w:val="nil"/>
              <w:left w:val="nil"/>
              <w:bottom w:val="nil"/>
              <w:right w:val="nil"/>
            </w:tcBorders>
            <w:noWrap/>
          </w:tcPr>
          <w:p w14:paraId="2A2167DA">
            <w:pPr>
              <w:autoSpaceDE w:val="0"/>
              <w:autoSpaceDN w:val="0"/>
              <w:adjustRightInd w:val="0"/>
              <w:spacing w:line="500" w:lineRule="exact"/>
              <w:jc w:val="left"/>
              <w:rPr>
                <w:color w:val="000000"/>
                <w:lang w:val="zh-CN"/>
              </w:rPr>
            </w:pPr>
            <w:r>
              <w:rPr>
                <w:rFonts w:hint="eastAsia" w:hAnsi="宋体"/>
                <w:color w:val="000000"/>
                <w:lang w:val="zh-CN"/>
              </w:rPr>
              <w:t>供应商：</w:t>
            </w:r>
          </w:p>
        </w:tc>
      </w:tr>
      <w:tr w14:paraId="41844983">
        <w:tblPrEx>
          <w:tblCellMar>
            <w:top w:w="0" w:type="dxa"/>
            <w:left w:w="0" w:type="dxa"/>
            <w:bottom w:w="0" w:type="dxa"/>
            <w:right w:w="0" w:type="dxa"/>
          </w:tblCellMar>
        </w:tblPrEx>
        <w:tc>
          <w:tcPr>
            <w:tcW w:w="4447" w:type="dxa"/>
            <w:tcBorders>
              <w:top w:val="nil"/>
              <w:left w:val="nil"/>
              <w:bottom w:val="nil"/>
              <w:right w:val="nil"/>
            </w:tcBorders>
            <w:noWrap/>
          </w:tcPr>
          <w:p w14:paraId="4F643FEE">
            <w:pPr>
              <w:spacing w:line="500" w:lineRule="exact"/>
              <w:rPr>
                <w:rFonts w:hAnsi="宋体"/>
                <w:lang w:val="zh-CN"/>
              </w:rPr>
            </w:pPr>
            <w:r>
              <w:rPr>
                <w:rFonts w:hint="eastAsia" w:hAnsi="宋体"/>
                <w:lang w:val="zh-CN"/>
              </w:rPr>
              <w:t>住所地：南京市紫竹林</w:t>
            </w:r>
            <w:r>
              <w:rPr>
                <w:rFonts w:hAnsi="宋体"/>
                <w:lang w:val="zh-CN"/>
              </w:rPr>
              <w:t>2</w:t>
            </w:r>
            <w:r>
              <w:rPr>
                <w:rFonts w:hint="eastAsia" w:hAnsi="宋体"/>
                <w:lang w:val="zh-CN"/>
              </w:rPr>
              <w:t>号</w:t>
            </w:r>
          </w:p>
        </w:tc>
        <w:tc>
          <w:tcPr>
            <w:tcW w:w="4484" w:type="dxa"/>
            <w:tcBorders>
              <w:top w:val="nil"/>
              <w:left w:val="nil"/>
              <w:bottom w:val="nil"/>
              <w:right w:val="nil"/>
            </w:tcBorders>
            <w:noWrap/>
          </w:tcPr>
          <w:p w14:paraId="53F55C36">
            <w:pPr>
              <w:autoSpaceDE w:val="0"/>
              <w:autoSpaceDN w:val="0"/>
              <w:adjustRightInd w:val="0"/>
              <w:spacing w:line="500" w:lineRule="exact"/>
              <w:jc w:val="left"/>
              <w:rPr>
                <w:rFonts w:hAnsi="宋体"/>
                <w:lang w:val="zh-CN"/>
              </w:rPr>
            </w:pPr>
            <w:r>
              <w:rPr>
                <w:rFonts w:hint="eastAsia" w:hAnsi="宋体"/>
                <w:lang w:val="zh-CN"/>
              </w:rPr>
              <w:t>住所地：</w:t>
            </w:r>
          </w:p>
          <w:p w14:paraId="06DF59CA">
            <w:pPr>
              <w:autoSpaceDE w:val="0"/>
              <w:autoSpaceDN w:val="0"/>
              <w:adjustRightInd w:val="0"/>
              <w:spacing w:line="500" w:lineRule="exact"/>
              <w:jc w:val="left"/>
            </w:pPr>
          </w:p>
        </w:tc>
      </w:tr>
    </w:tbl>
    <w:p w14:paraId="0B050A19">
      <w:pPr>
        <w:spacing w:line="360" w:lineRule="auto"/>
        <w:ind w:firstLine="420" w:firstLineChars="200"/>
        <w:jc w:val="left"/>
        <w:rPr>
          <w:rFonts w:ascii="宋体" w:hAnsi="宋体" w:cs="宋体"/>
        </w:rPr>
      </w:pPr>
      <w:r>
        <w:rPr>
          <w:rFonts w:hint="eastAsia" w:ascii="宋体" w:hAnsi="宋体" w:cs="宋体"/>
        </w:rPr>
        <w:t>根据《中华人民共和国政府采购法》、《中华人民共和国民法典》、《财政部关于信息系统建设项目采购有关问题的通知》（财库</w:t>
      </w:r>
      <w:r>
        <w:rPr>
          <w:rFonts w:hint="eastAsia" w:ascii="仿宋_GB2312" w:hAnsi="仿宋_GB2312" w:eastAsia="仿宋_GB2312" w:cs="仿宋_GB2312"/>
        </w:rPr>
        <w:t>〔</w:t>
      </w:r>
      <w:r>
        <w:rPr>
          <w:rFonts w:hint="eastAsia" w:ascii="宋体" w:hAnsi="宋体" w:cs="宋体"/>
        </w:rPr>
        <w:t>2011</w:t>
      </w:r>
      <w:r>
        <w:rPr>
          <w:rFonts w:hint="eastAsia" w:ascii="仿宋_GB2312" w:hAnsi="仿宋_GB2312" w:eastAsia="仿宋_GB2312" w:cs="仿宋_GB2312"/>
        </w:rPr>
        <w:t>〕</w:t>
      </w:r>
      <w:r>
        <w:rPr>
          <w:rFonts w:hint="eastAsia" w:ascii="宋体" w:hAnsi="宋体" w:cs="宋体"/>
        </w:rPr>
        <w:t>59号）、《财政部信息化建设项目合同管理办法》、《中华人民共和国国家标准 GB./ T8566-2007：信息技术软件生存周期》等相关法律法规，</w:t>
      </w:r>
      <w:r>
        <w:rPr>
          <w:rFonts w:hint="eastAsia" w:hAnsi="宋体"/>
          <w:color w:val="000000"/>
          <w:lang w:val="zh-CN"/>
        </w:rPr>
        <w:t>20</w:t>
      </w:r>
      <w:r>
        <w:rPr>
          <w:rFonts w:hint="eastAsia" w:hAnsi="宋体"/>
          <w:color w:val="000000"/>
        </w:rPr>
        <w:t xml:space="preserve">2  </w:t>
      </w:r>
      <w:r>
        <w:rPr>
          <w:rFonts w:hint="eastAsia" w:hAnsi="宋体"/>
          <w:color w:val="000000"/>
          <w:lang w:val="zh-CN"/>
        </w:rPr>
        <w:t>年</w:t>
      </w:r>
      <w:r>
        <w:rPr>
          <w:rFonts w:hint="eastAsia" w:hAnsi="宋体"/>
          <w:color w:val="000000"/>
        </w:rPr>
        <w:t xml:space="preserve">  </w:t>
      </w:r>
      <w:r>
        <w:rPr>
          <w:rFonts w:hint="eastAsia" w:hAnsi="宋体"/>
          <w:color w:val="000000"/>
          <w:lang w:val="zh-CN"/>
        </w:rPr>
        <w:t>月</w:t>
      </w:r>
      <w:r>
        <w:rPr>
          <w:rFonts w:hint="eastAsia" w:hAnsi="宋体"/>
          <w:color w:val="000000"/>
        </w:rPr>
        <w:t xml:space="preserve">  </w:t>
      </w:r>
      <w:r>
        <w:rPr>
          <w:rFonts w:hint="eastAsia" w:hAnsi="宋体"/>
          <w:color w:val="000000"/>
          <w:lang w:val="zh-CN"/>
        </w:rPr>
        <w:t>日组织了南京市疾病预防控制中心</w:t>
      </w:r>
      <w:r>
        <w:rPr>
          <w:rFonts w:hint="eastAsia" w:hAnsi="宋体"/>
          <w:color w:val="000000"/>
        </w:rPr>
        <w:t xml:space="preserve">         </w:t>
      </w:r>
      <w:r>
        <w:rPr>
          <w:rFonts w:hint="eastAsia" w:hAnsi="宋体"/>
          <w:color w:val="000000"/>
          <w:lang w:val="zh-CN"/>
        </w:rPr>
        <w:t>项目的</w:t>
      </w:r>
      <w:r>
        <w:rPr>
          <w:rFonts w:hint="eastAsia" w:hAnsi="宋体"/>
          <w:color w:val="000000"/>
        </w:rPr>
        <w:t>内部采购</w:t>
      </w:r>
      <w:r>
        <w:rPr>
          <w:rFonts w:hint="eastAsia" w:hAnsi="宋体"/>
          <w:color w:val="000000"/>
          <w:lang w:val="zh-CN"/>
        </w:rPr>
        <w:t>，</w:t>
      </w:r>
      <w:r>
        <w:rPr>
          <w:rFonts w:hint="eastAsia" w:hAnsi="宋体"/>
          <w:color w:val="000000"/>
        </w:rPr>
        <w:t>项目名称：南京市疾病预防控制中心             采购项目，</w:t>
      </w:r>
      <w:r>
        <w:rPr>
          <w:rFonts w:hAnsi="宋体"/>
          <w:color w:val="000000"/>
          <w:lang w:val="zh-CN"/>
        </w:rPr>
        <w:t>经评委认真严格地评审，确定由</w:t>
      </w:r>
      <w:r>
        <w:rPr>
          <w:rFonts w:hint="eastAsia" w:hAnsi="宋体"/>
          <w:color w:val="000000"/>
          <w:lang w:val="zh-CN"/>
        </w:rPr>
        <w:t>该供应商</w:t>
      </w:r>
      <w:r>
        <w:rPr>
          <w:rFonts w:hAnsi="宋体"/>
          <w:color w:val="000000"/>
          <w:lang w:val="zh-CN"/>
        </w:rPr>
        <w:t>中标。</w:t>
      </w:r>
      <w:r>
        <w:rPr>
          <w:rFonts w:hint="eastAsia" w:ascii="宋体" w:hAnsi="宋体" w:cs="宋体"/>
        </w:rPr>
        <w:t>甲乙双方经友好协商，共同签订本合同。</w:t>
      </w:r>
    </w:p>
    <w:p w14:paraId="5B611CF3">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一、合同标的</w:t>
      </w:r>
    </w:p>
    <w:p w14:paraId="37A07523">
      <w:pPr>
        <w:pStyle w:val="7"/>
        <w:adjustRightInd w:val="0"/>
        <w:snapToGrid w:val="0"/>
        <w:ind w:left="420" w:leftChars="200"/>
        <w:jc w:val="left"/>
        <w:rPr>
          <w:rFonts w:ascii="宋体" w:hAnsi="宋体" w:cs="宋体"/>
          <w:sz w:val="21"/>
        </w:rPr>
      </w:pPr>
      <w:r>
        <w:rPr>
          <w:rFonts w:hint="eastAsia" w:ascii="宋体" w:hAnsi="宋体" w:cs="宋体"/>
          <w:sz w:val="21"/>
        </w:rPr>
        <w:t>1.乙方根据甲方需求提供下列货物和服务：</w:t>
      </w:r>
      <w:r>
        <w:rPr>
          <w:rFonts w:hint="eastAsia" w:ascii="宋体" w:hAnsi="宋体" w:cs="宋体"/>
          <w:sz w:val="21"/>
          <w:u w:val="single"/>
        </w:rPr>
        <w:t>xxxxxx</w:t>
      </w:r>
      <w:r>
        <w:rPr>
          <w:rFonts w:hint="eastAsia" w:ascii="宋体" w:hAnsi="宋体" w:cs="宋体"/>
          <w:sz w:val="21"/>
        </w:rPr>
        <w:t>。</w:t>
      </w:r>
    </w:p>
    <w:p w14:paraId="21BA97E8">
      <w:pPr>
        <w:tabs>
          <w:tab w:val="left" w:pos="993"/>
        </w:tabs>
        <w:adjustRightInd w:val="0"/>
        <w:snapToGrid w:val="0"/>
        <w:ind w:firstLine="420" w:firstLineChars="200"/>
        <w:jc w:val="left"/>
        <w:rPr>
          <w:rFonts w:ascii="宋体" w:hAnsi="宋体" w:cs="宋体"/>
        </w:rPr>
      </w:pPr>
      <w:r>
        <w:rPr>
          <w:rFonts w:hint="eastAsia" w:ascii="宋体" w:hAnsi="宋体" w:cs="宋体"/>
        </w:rPr>
        <w:t>2.货物和服务的详细清单（分项价表）：</w:t>
      </w:r>
    </w:p>
    <w:tbl>
      <w:tblPr>
        <w:tblStyle w:val="21"/>
        <w:tblW w:w="8192"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13"/>
        <w:gridCol w:w="788"/>
        <w:gridCol w:w="1101"/>
        <w:gridCol w:w="1803"/>
        <w:gridCol w:w="1464"/>
      </w:tblGrid>
      <w:tr w14:paraId="4BE7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14:paraId="0E62711B">
            <w:pPr>
              <w:snapToGrid w:val="0"/>
              <w:jc w:val="center"/>
              <w:rPr>
                <w:rFonts w:ascii="宋体" w:hAnsi="宋体" w:cs="宋体"/>
              </w:rPr>
            </w:pPr>
            <w:r>
              <w:rPr>
                <w:rFonts w:hint="eastAsia" w:ascii="宋体" w:hAnsi="宋体" w:cs="宋体"/>
              </w:rPr>
              <w:t>产品名称</w:t>
            </w:r>
          </w:p>
        </w:tc>
        <w:tc>
          <w:tcPr>
            <w:tcW w:w="1313" w:type="dxa"/>
            <w:vAlign w:val="center"/>
          </w:tcPr>
          <w:p w14:paraId="7199D9C5">
            <w:pPr>
              <w:snapToGrid w:val="0"/>
              <w:jc w:val="center"/>
              <w:rPr>
                <w:rFonts w:ascii="宋体" w:hAnsi="宋体" w:cs="宋体"/>
              </w:rPr>
            </w:pPr>
            <w:r>
              <w:rPr>
                <w:rFonts w:hint="eastAsia" w:ascii="宋体" w:hAnsi="宋体" w:cs="宋体"/>
              </w:rPr>
              <w:t>品牌</w:t>
            </w:r>
          </w:p>
        </w:tc>
        <w:tc>
          <w:tcPr>
            <w:tcW w:w="788" w:type="dxa"/>
            <w:vAlign w:val="center"/>
          </w:tcPr>
          <w:p w14:paraId="364446EA">
            <w:pPr>
              <w:snapToGrid w:val="0"/>
              <w:jc w:val="center"/>
              <w:rPr>
                <w:rFonts w:ascii="宋体" w:hAnsi="宋体" w:cs="宋体"/>
              </w:rPr>
            </w:pPr>
            <w:r>
              <w:rPr>
                <w:rFonts w:hint="eastAsia" w:ascii="宋体" w:hAnsi="宋体" w:cs="宋体"/>
              </w:rPr>
              <w:t>数量</w:t>
            </w:r>
          </w:p>
        </w:tc>
        <w:tc>
          <w:tcPr>
            <w:tcW w:w="1101" w:type="dxa"/>
            <w:vAlign w:val="center"/>
          </w:tcPr>
          <w:p w14:paraId="74614BA8">
            <w:pPr>
              <w:snapToGrid w:val="0"/>
              <w:jc w:val="center"/>
              <w:rPr>
                <w:rFonts w:ascii="宋体" w:hAnsi="宋体" w:cs="宋体"/>
              </w:rPr>
            </w:pPr>
            <w:r>
              <w:rPr>
                <w:rFonts w:hint="eastAsia" w:ascii="宋体" w:hAnsi="宋体" w:cs="宋体"/>
              </w:rPr>
              <w:t>单位</w:t>
            </w:r>
          </w:p>
        </w:tc>
        <w:tc>
          <w:tcPr>
            <w:tcW w:w="1803" w:type="dxa"/>
            <w:vAlign w:val="center"/>
          </w:tcPr>
          <w:p w14:paraId="53A06544">
            <w:pPr>
              <w:snapToGrid w:val="0"/>
              <w:jc w:val="center"/>
              <w:rPr>
                <w:rFonts w:ascii="宋体" w:hAnsi="宋体" w:cs="宋体"/>
              </w:rPr>
            </w:pPr>
            <w:r>
              <w:rPr>
                <w:rFonts w:hint="eastAsia" w:ascii="宋体" w:hAnsi="宋体" w:cs="宋体"/>
              </w:rPr>
              <w:t>单价（元）</w:t>
            </w:r>
          </w:p>
        </w:tc>
        <w:tc>
          <w:tcPr>
            <w:tcW w:w="1464" w:type="dxa"/>
            <w:vAlign w:val="center"/>
          </w:tcPr>
          <w:p w14:paraId="4B59B7A5">
            <w:pPr>
              <w:snapToGrid w:val="0"/>
              <w:jc w:val="center"/>
              <w:rPr>
                <w:rFonts w:ascii="宋体" w:hAnsi="宋体" w:cs="宋体"/>
              </w:rPr>
            </w:pPr>
            <w:r>
              <w:rPr>
                <w:rFonts w:hint="eastAsia" w:ascii="宋体" w:hAnsi="宋体" w:cs="宋体"/>
              </w:rPr>
              <w:t>合计（元）</w:t>
            </w:r>
          </w:p>
        </w:tc>
      </w:tr>
      <w:tr w14:paraId="1D2B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3" w:type="dxa"/>
            <w:vAlign w:val="center"/>
          </w:tcPr>
          <w:p w14:paraId="7C25E9B1">
            <w:pPr>
              <w:snapToGrid w:val="0"/>
              <w:jc w:val="center"/>
              <w:rPr>
                <w:rFonts w:ascii="宋体" w:hAnsi="宋体" w:cs="宋体"/>
              </w:rPr>
            </w:pPr>
            <w:r>
              <w:rPr>
                <w:rFonts w:hint="eastAsia" w:ascii="宋体" w:hAnsi="宋体" w:cs="宋体"/>
                <w:u w:val="single"/>
              </w:rPr>
              <w:t>xxxxxx</w:t>
            </w:r>
          </w:p>
        </w:tc>
        <w:tc>
          <w:tcPr>
            <w:tcW w:w="1313" w:type="dxa"/>
            <w:vAlign w:val="center"/>
          </w:tcPr>
          <w:p w14:paraId="558332C5">
            <w:pPr>
              <w:snapToGrid w:val="0"/>
              <w:jc w:val="center"/>
              <w:rPr>
                <w:rFonts w:ascii="宋体" w:hAnsi="宋体" w:cs="宋体"/>
              </w:rPr>
            </w:pPr>
          </w:p>
        </w:tc>
        <w:tc>
          <w:tcPr>
            <w:tcW w:w="788" w:type="dxa"/>
            <w:vAlign w:val="center"/>
          </w:tcPr>
          <w:p w14:paraId="253F98FE">
            <w:pPr>
              <w:snapToGrid w:val="0"/>
              <w:jc w:val="center"/>
              <w:rPr>
                <w:rFonts w:ascii="宋体" w:hAnsi="宋体" w:cs="宋体"/>
              </w:rPr>
            </w:pPr>
            <w:r>
              <w:rPr>
                <w:rFonts w:hint="eastAsia" w:ascii="宋体" w:hAnsi="宋体" w:cs="宋体"/>
              </w:rPr>
              <w:t>1</w:t>
            </w:r>
          </w:p>
        </w:tc>
        <w:tc>
          <w:tcPr>
            <w:tcW w:w="1101" w:type="dxa"/>
            <w:vAlign w:val="center"/>
          </w:tcPr>
          <w:p w14:paraId="13DD118E">
            <w:pPr>
              <w:snapToGrid w:val="0"/>
              <w:jc w:val="center"/>
              <w:rPr>
                <w:rFonts w:ascii="宋体" w:hAnsi="宋体" w:cs="宋体"/>
              </w:rPr>
            </w:pPr>
            <w:r>
              <w:rPr>
                <w:rFonts w:hint="eastAsia" w:ascii="宋体" w:hAnsi="宋体" w:cs="宋体"/>
              </w:rPr>
              <w:t>套</w:t>
            </w:r>
          </w:p>
        </w:tc>
        <w:tc>
          <w:tcPr>
            <w:tcW w:w="1803" w:type="dxa"/>
            <w:vAlign w:val="center"/>
          </w:tcPr>
          <w:p w14:paraId="22F740CA">
            <w:pPr>
              <w:snapToGrid w:val="0"/>
              <w:jc w:val="center"/>
              <w:rPr>
                <w:rFonts w:ascii="宋体" w:hAnsi="宋体" w:cs="宋体"/>
              </w:rPr>
            </w:pPr>
          </w:p>
        </w:tc>
        <w:tc>
          <w:tcPr>
            <w:tcW w:w="1464" w:type="dxa"/>
            <w:vAlign w:val="center"/>
          </w:tcPr>
          <w:p w14:paraId="027D54D0">
            <w:pPr>
              <w:snapToGrid w:val="0"/>
              <w:jc w:val="center"/>
              <w:rPr>
                <w:rFonts w:ascii="宋体" w:hAnsi="宋体" w:cs="宋体"/>
              </w:rPr>
            </w:pPr>
          </w:p>
        </w:tc>
      </w:tr>
    </w:tbl>
    <w:p w14:paraId="21DCE6D4">
      <w:pPr>
        <w:pStyle w:val="7"/>
        <w:adjustRightInd w:val="0"/>
        <w:snapToGrid w:val="0"/>
        <w:ind w:left="420" w:leftChars="200"/>
        <w:jc w:val="left"/>
        <w:rPr>
          <w:rFonts w:ascii="宋体" w:hAnsi="宋体" w:cs="宋体"/>
          <w:sz w:val="21"/>
        </w:rPr>
      </w:pPr>
      <w:r>
        <w:rPr>
          <w:rFonts w:hint="eastAsia" w:ascii="宋体" w:hAnsi="宋体" w:cs="宋体"/>
          <w:sz w:val="21"/>
        </w:rPr>
        <w:t>说明：详细功能详见附件1《配置清单》。</w:t>
      </w:r>
    </w:p>
    <w:p w14:paraId="32902A88">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二、合同总价款</w:t>
      </w:r>
    </w:p>
    <w:p w14:paraId="5FBC833D">
      <w:pPr>
        <w:pStyle w:val="7"/>
        <w:adjustRightInd w:val="0"/>
        <w:snapToGrid w:val="0"/>
        <w:ind w:firstLine="420" w:firstLineChars="200"/>
        <w:rPr>
          <w:rFonts w:ascii="宋体" w:hAnsi="宋体" w:cs="宋体"/>
          <w:sz w:val="21"/>
        </w:rPr>
      </w:pPr>
      <w:r>
        <w:rPr>
          <w:rFonts w:hint="eastAsia" w:ascii="宋体" w:hAnsi="宋体" w:cs="宋体"/>
          <w:sz w:val="21"/>
        </w:rPr>
        <w:t>1.本合同项下货物和服务总价款为人民币（大写）</w:t>
      </w:r>
      <w:r>
        <w:rPr>
          <w:rFonts w:hint="eastAsia" w:ascii="宋体" w:hAnsi="宋体" w:cs="宋体"/>
          <w:sz w:val="21"/>
          <w:u w:val="single"/>
        </w:rPr>
        <w:t xml:space="preserve">xxxxxx元整    </w:t>
      </w:r>
      <w:r>
        <w:rPr>
          <w:rFonts w:hint="eastAsia" w:ascii="宋体" w:hAnsi="宋体" w:cs="宋体"/>
          <w:sz w:val="21"/>
        </w:rPr>
        <w:t>元（含税）。</w:t>
      </w:r>
    </w:p>
    <w:p w14:paraId="5E03A136">
      <w:pPr>
        <w:pStyle w:val="7"/>
        <w:adjustRightInd w:val="0"/>
        <w:snapToGrid w:val="0"/>
        <w:ind w:firstLine="420" w:firstLineChars="200"/>
        <w:rPr>
          <w:rFonts w:ascii="宋体" w:hAnsi="宋体" w:cs="宋体"/>
          <w:sz w:val="21"/>
        </w:rPr>
      </w:pPr>
      <w:r>
        <w:rPr>
          <w:rFonts w:hint="eastAsia" w:ascii="宋体" w:hAnsi="宋体" w:cs="宋体"/>
          <w:sz w:val="21"/>
        </w:rPr>
        <w:t>2.</w:t>
      </w:r>
      <w:r>
        <w:rPr>
          <w:rFonts w:hint="eastAsia" w:ascii="宋体" w:hAnsi="宋体" w:cs="宋体"/>
          <w:sz w:val="21"/>
          <w:lang w:val="zh-CN"/>
        </w:rPr>
        <w:t>本合同总价款包含</w:t>
      </w:r>
      <w:r>
        <w:rPr>
          <w:rFonts w:hint="eastAsia" w:ascii="宋体" w:hAnsi="宋体" w:cs="宋体"/>
          <w:sz w:val="21"/>
        </w:rPr>
        <w:t>完成本项目发生的软、硬件产品及实施服务、系统对接、安装、调试、验收、运输、搬运、保险、移动端软件上线应用、材料及保修期内备品备件、专用工具、</w:t>
      </w:r>
      <w:r>
        <w:rPr>
          <w:rFonts w:hint="eastAsia" w:ascii="宋体" w:hAnsi="宋体" w:cs="宋体"/>
          <w:sz w:val="21"/>
          <w:lang w:val="zh-CN"/>
        </w:rPr>
        <w:t>技术资料、人员培训发生的所有含税费用</w:t>
      </w:r>
      <w:r>
        <w:rPr>
          <w:rFonts w:hint="eastAsia" w:ascii="宋体" w:hAnsi="宋体" w:cs="宋体"/>
          <w:sz w:val="21"/>
        </w:rPr>
        <w:t>、支付给员工的工资和国家强制缴纳的各种社会保障资金以及</w:t>
      </w:r>
      <w:bookmarkStart w:id="31" w:name="_Hlk79583289"/>
      <w:r>
        <w:rPr>
          <w:rFonts w:hint="eastAsia" w:ascii="宋体" w:hAnsi="宋体" w:cs="宋体"/>
          <w:sz w:val="21"/>
        </w:rPr>
        <w:t>其他完成本项目</w:t>
      </w:r>
      <w:bookmarkEnd w:id="31"/>
      <w:r>
        <w:rPr>
          <w:rFonts w:hint="eastAsia" w:ascii="宋体" w:hAnsi="宋体" w:cs="宋体"/>
          <w:sz w:val="21"/>
        </w:rPr>
        <w:t>需要的所有费用。</w:t>
      </w:r>
    </w:p>
    <w:p w14:paraId="4C4C7D97">
      <w:pPr>
        <w:pStyle w:val="7"/>
        <w:adjustRightInd w:val="0"/>
        <w:snapToGrid w:val="0"/>
        <w:ind w:firstLine="420" w:firstLineChars="200"/>
        <w:rPr>
          <w:rFonts w:ascii="宋体" w:hAnsi="宋体" w:cs="宋体"/>
          <w:sz w:val="21"/>
          <w:lang w:val="zh-CN"/>
        </w:rPr>
      </w:pPr>
      <w:r>
        <w:rPr>
          <w:rFonts w:hint="eastAsia" w:ascii="宋体" w:hAnsi="宋体" w:cs="宋体"/>
          <w:sz w:val="21"/>
        </w:rPr>
        <w:t>3.</w:t>
      </w:r>
      <w:r>
        <w:rPr>
          <w:rFonts w:hint="eastAsia" w:ascii="宋体" w:hAnsi="宋体" w:cs="宋体"/>
          <w:sz w:val="21"/>
          <w:lang w:val="zh-CN"/>
        </w:rPr>
        <w:t>本合同总价款还包含乙方应当提供的1年免费维护服务（自验收报告由甲方授权代表签字确认日起，开始进入免费维护期）。</w:t>
      </w:r>
    </w:p>
    <w:p w14:paraId="2D7AF60E">
      <w:pPr>
        <w:pStyle w:val="7"/>
        <w:adjustRightInd w:val="0"/>
        <w:snapToGrid w:val="0"/>
        <w:ind w:firstLine="420" w:firstLineChars="200"/>
        <w:rPr>
          <w:rFonts w:ascii="宋体" w:hAnsi="宋体" w:cs="宋体"/>
          <w:sz w:val="21"/>
          <w:lang w:val="zh-CN"/>
        </w:rPr>
      </w:pPr>
      <w:r>
        <w:rPr>
          <w:rFonts w:hint="eastAsia" w:ascii="宋体" w:hAnsi="宋体" w:cs="宋体"/>
          <w:sz w:val="21"/>
        </w:rPr>
        <w:t>4.</w:t>
      </w:r>
      <w:r>
        <w:rPr>
          <w:rFonts w:hint="eastAsia" w:ascii="宋体" w:hAnsi="宋体" w:cs="宋体"/>
          <w:sz w:val="21"/>
          <w:lang w:val="zh-CN"/>
        </w:rPr>
        <w:t>本合同执行期间合同总价款不变。</w:t>
      </w:r>
    </w:p>
    <w:p w14:paraId="613E35A6">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组成本合同的有关文件</w:t>
      </w:r>
    </w:p>
    <w:p w14:paraId="2A9D14D9">
      <w:pPr>
        <w:autoSpaceDE w:val="0"/>
        <w:autoSpaceDN w:val="0"/>
        <w:adjustRightInd w:val="0"/>
        <w:ind w:firstLine="420" w:firstLineChars="200"/>
        <w:rPr>
          <w:rFonts w:ascii="宋体" w:hAnsi="宋体" w:cs="宋体"/>
          <w:lang w:val="zh-CN"/>
        </w:rPr>
      </w:pPr>
      <w:r>
        <w:rPr>
          <w:rFonts w:hint="eastAsia" w:ascii="宋体" w:hAnsi="宋体" w:cs="宋体"/>
        </w:rPr>
        <w:t>下列关于</w:t>
      </w:r>
      <w:r>
        <w:rPr>
          <w:rFonts w:hint="eastAsia" w:ascii="宋体" w:hAnsi="宋体" w:cs="宋体"/>
          <w:u w:val="single"/>
        </w:rPr>
        <w:t>xxxxxx</w:t>
      </w:r>
      <w:r>
        <w:rPr>
          <w:rFonts w:hint="eastAsia" w:ascii="宋体" w:hAnsi="宋体" w:cs="宋体"/>
          <w:lang w:val="zh-CN"/>
        </w:rPr>
        <w:t>号标的</w:t>
      </w:r>
      <w:r>
        <w:rPr>
          <w:rFonts w:hint="eastAsia" w:ascii="宋体" w:hAnsi="宋体" w:cs="宋体"/>
        </w:rPr>
        <w:t>采购、</w:t>
      </w:r>
      <w:r>
        <w:rPr>
          <w:rFonts w:hint="eastAsia" w:ascii="宋体" w:hAnsi="宋体" w:cs="宋体"/>
          <w:lang w:val="zh-CN"/>
        </w:rPr>
        <w:t>竞争性磋商文件或与本次采购活动方式相适应的文件及有关附件是本合同不可分割的组成部分，与本合同具有同等法律效力，这些文件包括但不限于：</w:t>
      </w:r>
    </w:p>
    <w:p w14:paraId="67357FC1">
      <w:pPr>
        <w:autoSpaceDE w:val="0"/>
        <w:autoSpaceDN w:val="0"/>
        <w:adjustRightInd w:val="0"/>
        <w:ind w:firstLine="420"/>
        <w:jc w:val="left"/>
        <w:rPr>
          <w:rFonts w:ascii="宋体" w:hAnsi="宋体" w:cs="宋体"/>
          <w:lang w:val="zh-CN"/>
        </w:rPr>
      </w:pPr>
      <w:r>
        <w:rPr>
          <w:rFonts w:hint="eastAsia" w:ascii="宋体" w:hAnsi="宋体" w:cs="宋体"/>
        </w:rPr>
        <w:t>1.竞争性磋商文件、</w:t>
      </w:r>
      <w:r>
        <w:rPr>
          <w:rFonts w:hint="eastAsia" w:ascii="宋体" w:hAnsi="宋体" w:cs="宋体"/>
          <w:lang w:val="zh-CN"/>
        </w:rPr>
        <w:t xml:space="preserve">响应文件和投标报价表；    </w:t>
      </w:r>
      <w:r>
        <w:rPr>
          <w:rFonts w:hint="eastAsia" w:ascii="宋体" w:hAnsi="宋体" w:cs="宋体"/>
        </w:rPr>
        <w:t>2.</w:t>
      </w:r>
      <w:r>
        <w:rPr>
          <w:rFonts w:hint="eastAsia" w:ascii="宋体" w:hAnsi="宋体" w:cs="宋体"/>
          <w:lang w:val="zh-CN"/>
        </w:rPr>
        <w:t>服务一览表；</w:t>
      </w:r>
    </w:p>
    <w:p w14:paraId="0A72EE6D">
      <w:pPr>
        <w:autoSpaceDE w:val="0"/>
        <w:autoSpaceDN w:val="0"/>
        <w:adjustRightInd w:val="0"/>
        <w:ind w:firstLine="420"/>
        <w:jc w:val="left"/>
        <w:rPr>
          <w:rFonts w:ascii="宋体" w:hAnsi="宋体" w:cs="宋体"/>
          <w:lang w:val="zh-CN"/>
        </w:rPr>
      </w:pPr>
      <w:r>
        <w:rPr>
          <w:rFonts w:hint="eastAsia" w:ascii="宋体" w:hAnsi="宋体" w:cs="宋体"/>
        </w:rPr>
        <w:t>3.</w:t>
      </w:r>
      <w:r>
        <w:rPr>
          <w:rFonts w:hint="eastAsia" w:ascii="宋体" w:hAnsi="宋体" w:cs="宋体"/>
          <w:lang w:val="zh-CN"/>
        </w:rPr>
        <w:t xml:space="preserve">交付一览表；                            </w:t>
      </w:r>
      <w:r>
        <w:rPr>
          <w:rFonts w:hint="eastAsia" w:ascii="宋体" w:hAnsi="宋体" w:cs="宋体"/>
        </w:rPr>
        <w:t xml:space="preserve">  4.</w:t>
      </w:r>
      <w:r>
        <w:rPr>
          <w:rFonts w:hint="eastAsia" w:ascii="宋体" w:hAnsi="宋体" w:cs="宋体"/>
          <w:lang w:val="zh-CN"/>
        </w:rPr>
        <w:t>技术规格响应表；</w:t>
      </w:r>
    </w:p>
    <w:p w14:paraId="763180DE">
      <w:pPr>
        <w:autoSpaceDE w:val="0"/>
        <w:autoSpaceDN w:val="0"/>
        <w:adjustRightInd w:val="0"/>
        <w:ind w:firstLine="420"/>
        <w:jc w:val="left"/>
        <w:rPr>
          <w:rFonts w:ascii="宋体" w:hAnsi="宋体" w:cs="宋体"/>
          <w:lang w:val="zh-CN"/>
        </w:rPr>
      </w:pPr>
      <w:r>
        <w:rPr>
          <w:rFonts w:hint="eastAsia" w:ascii="宋体" w:hAnsi="宋体" w:cs="宋体"/>
        </w:rPr>
        <w:t>5.</w:t>
      </w:r>
      <w:r>
        <w:rPr>
          <w:rFonts w:hint="eastAsia" w:ascii="宋体" w:hAnsi="宋体" w:cs="宋体"/>
          <w:lang w:val="zh-CN"/>
        </w:rPr>
        <w:t xml:space="preserve">投标承诺；                                </w:t>
      </w:r>
      <w:r>
        <w:rPr>
          <w:rFonts w:hint="eastAsia" w:ascii="宋体" w:hAnsi="宋体" w:cs="宋体"/>
        </w:rPr>
        <w:t>6.</w:t>
      </w:r>
      <w:r>
        <w:rPr>
          <w:rFonts w:hint="eastAsia" w:ascii="宋体" w:hAnsi="宋体" w:cs="宋体"/>
          <w:lang w:val="zh-CN"/>
        </w:rPr>
        <w:t>服务承诺；</w:t>
      </w:r>
    </w:p>
    <w:p w14:paraId="6429CA78">
      <w:pPr>
        <w:tabs>
          <w:tab w:val="left" w:pos="993"/>
        </w:tabs>
        <w:adjustRightInd w:val="0"/>
        <w:snapToGrid w:val="0"/>
        <w:ind w:firstLine="420" w:firstLineChars="200"/>
        <w:jc w:val="left"/>
        <w:rPr>
          <w:rFonts w:ascii="宋体" w:hAnsi="宋体" w:cs="宋体"/>
          <w:lang w:val="zh-CN"/>
        </w:rPr>
      </w:pPr>
      <w:r>
        <w:rPr>
          <w:rFonts w:hint="eastAsia" w:ascii="宋体" w:hAnsi="宋体" w:cs="宋体"/>
        </w:rPr>
        <w:t>7.</w:t>
      </w:r>
      <w:r>
        <w:rPr>
          <w:rFonts w:hint="eastAsia" w:ascii="宋体" w:hAnsi="宋体" w:cs="宋体"/>
          <w:lang w:val="zh-CN"/>
        </w:rPr>
        <w:t xml:space="preserve">成交通知书；                              </w:t>
      </w:r>
      <w:r>
        <w:rPr>
          <w:rFonts w:hint="eastAsia" w:ascii="宋体" w:hAnsi="宋体" w:cs="宋体"/>
        </w:rPr>
        <w:t>8.</w:t>
      </w:r>
      <w:r>
        <w:rPr>
          <w:rFonts w:hint="eastAsia" w:ascii="宋体" w:hAnsi="宋体" w:cs="宋体"/>
          <w:lang w:val="zh-CN"/>
        </w:rPr>
        <w:t>甲乙双方商定的其他文件。</w:t>
      </w:r>
    </w:p>
    <w:p w14:paraId="32494752">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四、质量保证</w:t>
      </w:r>
    </w:p>
    <w:p w14:paraId="4041D394">
      <w:pPr>
        <w:pStyle w:val="7"/>
        <w:adjustRightInd w:val="0"/>
        <w:snapToGrid w:val="0"/>
        <w:ind w:firstLine="420" w:firstLineChars="200"/>
        <w:rPr>
          <w:rFonts w:ascii="宋体" w:hAnsi="宋体" w:cs="宋体"/>
          <w:sz w:val="21"/>
          <w:highlight w:val="yellow"/>
        </w:rPr>
      </w:pPr>
      <w:r>
        <w:rPr>
          <w:rFonts w:hint="eastAsia" w:ascii="宋体" w:hAnsi="宋体" w:cs="宋体"/>
          <w:sz w:val="21"/>
        </w:rPr>
        <w:t>1.乙方所提供的货物和服务的技术规格应与采购文件规定的技术规格及竞争性磋商文件所附的“技术条款偏离表”相一致，并符合最新的国家标准、行业标准、法定职责、条例、规范以及政府及有关部门的特别要求。</w:t>
      </w:r>
    </w:p>
    <w:p w14:paraId="385EB6D9">
      <w:pPr>
        <w:pStyle w:val="7"/>
        <w:adjustRightInd w:val="0"/>
        <w:snapToGrid w:val="0"/>
        <w:ind w:firstLine="420" w:firstLineChars="200"/>
        <w:rPr>
          <w:sz w:val="21"/>
        </w:rPr>
      </w:pPr>
      <w:r>
        <w:rPr>
          <w:rFonts w:hint="eastAsia" w:ascii="宋体" w:hAnsi="宋体" w:cs="宋体"/>
          <w:sz w:val="21"/>
        </w:rPr>
        <w:t>2.乙方提供的货物和服务质量应当符</w:t>
      </w:r>
      <w:r>
        <w:rPr>
          <w:rFonts w:hint="eastAsia"/>
          <w:sz w:val="21"/>
        </w:rPr>
        <w:t>合采购文件的约定，以及乙方的承诺，</w:t>
      </w:r>
      <w:r>
        <w:rPr>
          <w:rFonts w:hint="eastAsia" w:ascii="宋体" w:hAnsi="宋体" w:cs="宋体"/>
          <w:sz w:val="21"/>
        </w:rPr>
        <w:t>不得弄虚作假、不得提供假冒伪劣或任意提供合同外产品。</w:t>
      </w:r>
    </w:p>
    <w:p w14:paraId="249973C2">
      <w:pPr>
        <w:pStyle w:val="7"/>
        <w:adjustRightInd w:val="0"/>
        <w:snapToGrid w:val="0"/>
        <w:ind w:firstLine="420" w:firstLineChars="200"/>
        <w:rPr>
          <w:rFonts w:ascii="宋体" w:hAnsi="宋体" w:cs="宋体"/>
          <w:sz w:val="21"/>
        </w:rPr>
      </w:pPr>
      <w:r>
        <w:rPr>
          <w:rFonts w:hint="eastAsia" w:ascii="宋体" w:hAnsi="宋体" w:cs="宋体"/>
          <w:sz w:val="21"/>
        </w:rPr>
        <w:t>3.</w:t>
      </w:r>
      <w:bookmarkStart w:id="32" w:name="_Hlk79410450"/>
      <w:r>
        <w:rPr>
          <w:rFonts w:hint="eastAsia" w:ascii="宋体" w:hAnsi="宋体" w:cs="宋体"/>
          <w:sz w:val="21"/>
        </w:rPr>
        <w:t>质量保证期</w:t>
      </w:r>
      <w:bookmarkEnd w:id="32"/>
      <w:r>
        <w:rPr>
          <w:rFonts w:hint="eastAsia" w:ascii="宋体" w:hAnsi="宋体" w:cs="宋体"/>
          <w:sz w:val="21"/>
        </w:rPr>
        <w:t>为自最终验收合格之日（验收报告由甲方授权代表签字确认日）起</w:t>
      </w:r>
      <w:r>
        <w:rPr>
          <w:rFonts w:hint="eastAsia" w:ascii="宋体" w:hAnsi="宋体" w:cs="宋体"/>
          <w:sz w:val="21"/>
          <w:u w:val="single"/>
        </w:rPr>
        <w:t xml:space="preserve"> 1  </w:t>
      </w:r>
      <w:r>
        <w:rPr>
          <w:rFonts w:hint="eastAsia" w:ascii="宋体" w:hAnsi="宋体" w:cs="宋体"/>
          <w:sz w:val="21"/>
        </w:rPr>
        <w:t>年，在此期间，乙方提供免费质保、维护服务。</w:t>
      </w:r>
    </w:p>
    <w:p w14:paraId="2DFA938C">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五、合同款支付</w:t>
      </w:r>
    </w:p>
    <w:p w14:paraId="00FB32F0">
      <w:pPr>
        <w:pStyle w:val="7"/>
        <w:adjustRightInd w:val="0"/>
        <w:snapToGrid w:val="0"/>
        <w:ind w:firstLine="420" w:firstLineChars="200"/>
        <w:rPr>
          <w:rFonts w:ascii="宋体" w:hAnsi="宋体" w:cs="宋体"/>
          <w:sz w:val="21"/>
        </w:rPr>
      </w:pPr>
      <w:r>
        <w:rPr>
          <w:rFonts w:hint="eastAsia" w:ascii="宋体" w:hAnsi="宋体" w:cs="宋体"/>
          <w:sz w:val="21"/>
        </w:rPr>
        <w:t>1.本合同项下的采购资金由甲方支付，乙方向甲方开具合法票据，通过信函或当面送达甲方，甲方收到发票后【3</w:t>
      </w:r>
      <w:r>
        <w:rPr>
          <w:rFonts w:ascii="宋体" w:hAnsi="宋体" w:cs="宋体"/>
          <w:sz w:val="21"/>
        </w:rPr>
        <w:t>0</w:t>
      </w:r>
      <w:r>
        <w:rPr>
          <w:rFonts w:hint="eastAsia" w:ascii="宋体" w:hAnsi="宋体" w:cs="宋体"/>
          <w:sz w:val="21"/>
        </w:rPr>
        <w:t>】天安排付款流程。发票不得由第三方代开，乙方未提供合法票据的，甲方有权拒绝支付合同款项，造成逾期付款等问题产生的损失由乙方承担。</w:t>
      </w:r>
    </w:p>
    <w:p w14:paraId="3FDDC2D5">
      <w:pPr>
        <w:pStyle w:val="7"/>
        <w:adjustRightInd w:val="0"/>
        <w:snapToGrid w:val="0"/>
        <w:ind w:firstLine="420" w:firstLineChars="200"/>
        <w:rPr>
          <w:rFonts w:ascii="宋体" w:hAnsi="宋体" w:cs="宋体"/>
          <w:sz w:val="21"/>
        </w:rPr>
      </w:pPr>
      <w:r>
        <w:rPr>
          <w:rFonts w:hint="eastAsia" w:ascii="宋体" w:hAnsi="宋体" w:cs="宋体"/>
          <w:sz w:val="21"/>
        </w:rPr>
        <w:t>2.乙方开具的发票上的货物和技术服务名称须与合同所列示的内容完全一致，否则甲方有权拒收发票，由此引起的一切责任由乙方负责。</w:t>
      </w:r>
    </w:p>
    <w:p w14:paraId="39882E36">
      <w:pPr>
        <w:ind w:firstLine="420" w:firstLineChars="200"/>
        <w:rPr>
          <w:rFonts w:ascii="宋体" w:hAnsi="宋体" w:cs="宋体"/>
        </w:rPr>
      </w:pPr>
      <w:r>
        <w:rPr>
          <w:rFonts w:hint="eastAsia" w:ascii="宋体" w:hAnsi="宋体" w:cs="宋体"/>
        </w:rPr>
        <w:t>3.付款条件：合同签署之日起30天内，支付合同总金额的30%首付款，即人民币</w:t>
      </w:r>
      <w:r>
        <w:rPr>
          <w:rFonts w:hint="eastAsia" w:ascii="宋体" w:hAnsi="宋体" w:cs="宋体"/>
          <w:u w:val="single"/>
        </w:rPr>
        <w:t>xxxxxx</w:t>
      </w:r>
      <w:r>
        <w:rPr>
          <w:rFonts w:hint="eastAsia" w:ascii="宋体" w:hAnsi="宋体" w:cs="宋体"/>
        </w:rPr>
        <w:t>元；项目经甲方初步验收合格之日起30天内，支付合同总金额的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元；整个项目完成试运行和最终验收之日起30天内，支付合同总金额的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元；项目质量保证期满后，甲方确认之日起30天内，付清剩余10%尾款，即人民币</w:t>
      </w:r>
      <w:r>
        <w:rPr>
          <w:rFonts w:hint="eastAsia" w:ascii="宋体" w:hAnsi="宋体" w:cs="宋体"/>
          <w:u w:val="single"/>
        </w:rPr>
        <w:t>xxxxxx</w:t>
      </w:r>
      <w:r>
        <w:rPr>
          <w:rFonts w:hint="eastAsia" w:ascii="宋体" w:hAnsi="宋体" w:cs="宋体"/>
        </w:rPr>
        <w:t>元，以上款项均为无息支付。</w:t>
      </w:r>
    </w:p>
    <w:p w14:paraId="3861A1D6">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六、交付和验收</w:t>
      </w:r>
    </w:p>
    <w:p w14:paraId="148A6EE1">
      <w:pPr>
        <w:pStyle w:val="7"/>
        <w:adjustRightInd w:val="0"/>
        <w:snapToGrid w:val="0"/>
        <w:ind w:firstLine="420" w:firstLineChars="200"/>
        <w:rPr>
          <w:rFonts w:ascii="宋体" w:hAnsi="宋体" w:cs="宋体"/>
          <w:sz w:val="21"/>
        </w:rPr>
      </w:pPr>
      <w:r>
        <w:rPr>
          <w:rFonts w:hint="eastAsia" w:ascii="宋体" w:hAnsi="宋体" w:cs="宋体"/>
          <w:sz w:val="21"/>
        </w:rPr>
        <w:t>1.合同签订后,乙方应根据项目的总体时间安排，制定详细进度计划，进度计划应覆盖项目实施各阶段的所有工作，并按照下列时间节点完成相应的项目交付工作：</w:t>
      </w:r>
    </w:p>
    <w:p w14:paraId="1DCC62F1">
      <w:pPr>
        <w:pStyle w:val="7"/>
        <w:adjustRightInd w:val="0"/>
        <w:snapToGrid w:val="0"/>
        <w:ind w:firstLine="420" w:firstLineChars="200"/>
        <w:rPr>
          <w:rFonts w:ascii="宋体" w:hAnsi="宋体" w:cs="宋体"/>
          <w:sz w:val="21"/>
        </w:rPr>
      </w:pPr>
      <w:r>
        <w:rPr>
          <w:rFonts w:hint="eastAsia" w:ascii="宋体" w:hAnsi="宋体" w:cs="宋体"/>
          <w:sz w:val="21"/>
        </w:rPr>
        <w:t>年月日前提交《需求规格说明书》经甲方确认；</w:t>
      </w:r>
    </w:p>
    <w:p w14:paraId="44FC69AE">
      <w:pPr>
        <w:pStyle w:val="7"/>
        <w:adjustRightInd w:val="0"/>
        <w:snapToGrid w:val="0"/>
        <w:ind w:firstLine="420" w:firstLineChars="200"/>
        <w:rPr>
          <w:rFonts w:ascii="宋体" w:hAnsi="宋体" w:cs="宋体"/>
          <w:sz w:val="21"/>
        </w:rPr>
      </w:pPr>
      <w:r>
        <w:rPr>
          <w:rFonts w:hint="eastAsia" w:ascii="宋体" w:hAnsi="宋体" w:cs="宋体"/>
          <w:sz w:val="21"/>
        </w:rPr>
        <w:t>《需求规格说明书》应包含以下内容：根据采购需求确定，如：项目目标和预期功能的规划制定；项目进度制定；项目管理方法确定等。</w:t>
      </w:r>
    </w:p>
    <w:p w14:paraId="226EFF8B">
      <w:pPr>
        <w:pStyle w:val="7"/>
        <w:adjustRightInd w:val="0"/>
        <w:snapToGrid w:val="0"/>
        <w:ind w:firstLine="420" w:firstLineChars="200"/>
        <w:rPr>
          <w:rFonts w:ascii="宋体" w:hAnsi="宋体" w:cs="宋体"/>
          <w:sz w:val="21"/>
        </w:rPr>
      </w:pPr>
      <w:r>
        <w:rPr>
          <w:rFonts w:hint="eastAsia" w:ascii="宋体" w:hAnsi="宋体" w:cs="宋体"/>
          <w:sz w:val="21"/>
        </w:rPr>
        <w:t>年月日前提交《详细设计说明书》并通过甲方确认；</w:t>
      </w:r>
    </w:p>
    <w:p w14:paraId="174E4E57">
      <w:pPr>
        <w:pStyle w:val="7"/>
        <w:adjustRightInd w:val="0"/>
        <w:snapToGrid w:val="0"/>
        <w:ind w:firstLine="420" w:firstLineChars="200"/>
        <w:rPr>
          <w:rFonts w:ascii="宋体" w:hAnsi="宋体" w:cs="宋体"/>
          <w:sz w:val="21"/>
        </w:rPr>
      </w:pPr>
      <w:r>
        <w:rPr>
          <w:rFonts w:hint="eastAsia" w:ascii="宋体" w:hAnsi="宋体" w:cs="宋体"/>
          <w:sz w:val="21"/>
        </w:rPr>
        <w:t>《详细设计说明书》应包含以下内容：根据采购需求确定，如：信息化项目平台相关架构的设计；对设计内容向甲方进行交底；确定信息化项目平台子系统的需求、技术规格及相关运行模式；对信息化项目平台同其他系统之间的接口、通讯方式、系统拓展等方面协助制定标准等。</w:t>
      </w:r>
    </w:p>
    <w:p w14:paraId="32202717">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年月日前完成项目的开发、部署上线、培训工作；</w:t>
      </w:r>
    </w:p>
    <w:p w14:paraId="16885BC6">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年月日前完成项目的初步验收工作并开始试运行；</w:t>
      </w:r>
    </w:p>
    <w:p w14:paraId="08357A2C">
      <w:pPr>
        <w:pStyle w:val="7"/>
        <w:adjustRightInd w:val="0"/>
        <w:snapToGrid w:val="0"/>
        <w:ind w:firstLine="420" w:firstLineChars="200"/>
        <w:rPr>
          <w:rFonts w:ascii="宋体" w:hAnsi="宋体" w:cs="宋体"/>
          <w:sz w:val="21"/>
        </w:rPr>
      </w:pPr>
      <w:r>
        <w:rPr>
          <w:rFonts w:hint="eastAsia" w:ascii="宋体" w:hAnsi="宋体" w:cs="宋体"/>
          <w:sz w:val="21"/>
        </w:rPr>
        <w:t>年月日前完成项目的试运行、最终验收、进行交付。</w:t>
      </w:r>
    </w:p>
    <w:p w14:paraId="069CA927">
      <w:pPr>
        <w:pStyle w:val="7"/>
        <w:adjustRightInd w:val="0"/>
        <w:snapToGrid w:val="0"/>
        <w:ind w:firstLine="420" w:firstLineChars="200"/>
        <w:rPr>
          <w:rFonts w:ascii="宋体" w:hAnsi="宋体" w:cs="宋体"/>
          <w:sz w:val="21"/>
        </w:rPr>
      </w:pPr>
      <w:r>
        <w:rPr>
          <w:rFonts w:hint="eastAsia" w:ascii="宋体" w:hAnsi="宋体" w:cs="宋体"/>
          <w:sz w:val="21"/>
        </w:rPr>
        <w:t>2.甲方对项目进度进行调整时，乙方应服从并相应调整详细进度计划。但是，甲方对项目内容作出重大变更调整时，应当交由乙方书面同意确认后生效，并且甲方对项目采购需求的重大调整应当在本项目第一阶段安装调试前结束。</w:t>
      </w:r>
    </w:p>
    <w:p w14:paraId="4311F55D">
      <w:pPr>
        <w:pStyle w:val="7"/>
        <w:adjustRightInd w:val="0"/>
        <w:snapToGrid w:val="0"/>
        <w:ind w:firstLine="420" w:firstLineChars="200"/>
        <w:rPr>
          <w:rFonts w:ascii="宋体" w:hAnsi="宋体" w:cs="宋体"/>
          <w:sz w:val="21"/>
        </w:rPr>
      </w:pPr>
      <w:r>
        <w:rPr>
          <w:rFonts w:hint="eastAsia" w:ascii="宋体" w:hAnsi="宋体" w:cs="宋体"/>
          <w:sz w:val="21"/>
        </w:rPr>
        <w:t>3.乙方交付的货物和服务应当完全符合本合同或者采购、竞争性磋商文件所规定的数量和规格总体设计、项目实施及售后服务达到功能及性能的设计要求。包括但不限于：负责信息化项目建设的设备材料、软件等开发和供应；负责信息化项目建设的二次开发；负责信息化项目建设的安装调试;负责信息化项目建设的质量控制;负责信息化项目建设的进度管理;负责信息化项目建设的施工安全;配合信息化项目建设的验收管理;负责信息化项目平台建设的培训;负责信息化项目平台建设的售后服务管理;定期向甲方提交项目阶段性工作报告等。乙方提供的货物和服务不符合竞争性磋商文件、响应文件和合同规定的，甲方有权拒收，由此引起的风险，由乙方承担。</w:t>
      </w:r>
    </w:p>
    <w:p w14:paraId="22FED378">
      <w:pPr>
        <w:pStyle w:val="7"/>
        <w:adjustRightInd w:val="0"/>
        <w:snapToGrid w:val="0"/>
        <w:ind w:firstLine="420" w:firstLineChars="200"/>
        <w:rPr>
          <w:rFonts w:ascii="宋体" w:hAnsi="宋体" w:cs="宋体"/>
          <w:sz w:val="21"/>
        </w:rPr>
      </w:pPr>
      <w:r>
        <w:rPr>
          <w:rFonts w:hint="eastAsia" w:ascii="宋体" w:hAnsi="宋体" w:cs="宋体"/>
          <w:sz w:val="21"/>
        </w:rPr>
        <w:t>4.交付地点：甲方指定地点。</w:t>
      </w:r>
    </w:p>
    <w:p w14:paraId="25035E8A">
      <w:pPr>
        <w:pStyle w:val="7"/>
        <w:adjustRightInd w:val="0"/>
        <w:snapToGrid w:val="0"/>
        <w:ind w:firstLine="420" w:firstLineChars="200"/>
        <w:rPr>
          <w:rFonts w:ascii="宋体" w:hAnsi="宋体" w:cs="宋体"/>
          <w:sz w:val="21"/>
        </w:rPr>
      </w:pPr>
      <w:r>
        <w:rPr>
          <w:rFonts w:hint="eastAsia" w:ascii="宋体" w:hAnsi="宋体" w:cs="宋体"/>
          <w:sz w:val="21"/>
        </w:rPr>
        <w:t>5.甲方可以邀请参加本项目的其他供应商或第三方专业机构及专家参与验收，验收标准详见附件3：《验收标准》。</w:t>
      </w:r>
    </w:p>
    <w:p w14:paraId="0D4E939A">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七、售后服务</w:t>
      </w:r>
    </w:p>
    <w:p w14:paraId="1A8128A7">
      <w:pPr>
        <w:pStyle w:val="7"/>
        <w:adjustRightInd w:val="0"/>
        <w:snapToGrid w:val="0"/>
        <w:ind w:firstLine="420" w:firstLineChars="200"/>
        <w:rPr>
          <w:rFonts w:ascii="宋体" w:hAnsi="宋体" w:cs="宋体"/>
          <w:sz w:val="21"/>
        </w:rPr>
      </w:pPr>
      <w:r>
        <w:rPr>
          <w:rFonts w:hint="eastAsia" w:ascii="宋体" w:hAnsi="宋体" w:cs="宋体"/>
          <w:sz w:val="21"/>
        </w:rPr>
        <w:t>1.乙方应按照国家有关法律法规规章规定以及采购、竞争性磋商文件所规定的“服务承诺”提供服务。</w:t>
      </w:r>
    </w:p>
    <w:p w14:paraId="680160DD">
      <w:pPr>
        <w:pStyle w:val="7"/>
        <w:adjustRightInd w:val="0"/>
        <w:snapToGrid w:val="0"/>
        <w:ind w:firstLine="420" w:firstLineChars="200"/>
        <w:rPr>
          <w:rFonts w:ascii="宋体" w:hAnsi="宋体" w:cs="宋体"/>
          <w:sz w:val="21"/>
        </w:rPr>
      </w:pPr>
      <w:r>
        <w:rPr>
          <w:rFonts w:hint="eastAsia" w:ascii="宋体" w:hAnsi="宋体" w:cs="宋体"/>
          <w:sz w:val="21"/>
        </w:rPr>
        <w:t>2.除前款规定外，乙方还应提供下列服务：</w:t>
      </w:r>
    </w:p>
    <w:p w14:paraId="17EDE218">
      <w:pPr>
        <w:pStyle w:val="7"/>
        <w:adjustRightInd w:val="0"/>
        <w:snapToGrid w:val="0"/>
        <w:ind w:firstLine="420" w:firstLineChars="200"/>
        <w:rPr>
          <w:rFonts w:ascii="宋体" w:hAnsi="宋体" w:cs="宋体"/>
          <w:sz w:val="21"/>
        </w:rPr>
      </w:pPr>
      <w:r>
        <w:rPr>
          <w:rFonts w:hint="eastAsia" w:ascii="宋体" w:hAnsi="宋体" w:cs="宋体"/>
          <w:sz w:val="21"/>
        </w:rPr>
        <w:t>（1）质量保证期内乙方提供专人负责本项目并提供7</w:t>
      </w:r>
      <w:r>
        <w:rPr>
          <w:rFonts w:ascii="Arial" w:hAnsi="Arial" w:cs="Arial"/>
          <w:sz w:val="21"/>
        </w:rPr>
        <w:t>×</w:t>
      </w:r>
      <w:r>
        <w:rPr>
          <w:rFonts w:hint="eastAsia" w:ascii="宋体" w:hAnsi="宋体" w:cs="宋体"/>
          <w:sz w:val="21"/>
        </w:rPr>
        <w:t>24小时技术服务和免费上门维护服务，质保费用计入总价，但不可抗力（如火灾、雷击等）造成的故障除外。。</w:t>
      </w:r>
    </w:p>
    <w:p w14:paraId="1C076419">
      <w:pPr>
        <w:pStyle w:val="7"/>
        <w:adjustRightInd w:val="0"/>
        <w:snapToGrid w:val="0"/>
        <w:ind w:firstLine="420" w:firstLineChars="200"/>
        <w:rPr>
          <w:rFonts w:ascii="宋体" w:hAnsi="宋体" w:cs="宋体"/>
          <w:sz w:val="21"/>
        </w:rPr>
      </w:pPr>
      <w:r>
        <w:rPr>
          <w:rFonts w:hint="eastAsia" w:ascii="宋体" w:hAnsi="宋体" w:cs="宋体"/>
          <w:sz w:val="21"/>
        </w:rPr>
        <w:t>（2）乙方在接到甲方报修电话后</w:t>
      </w:r>
      <w:r>
        <w:rPr>
          <w:rFonts w:hint="eastAsia" w:ascii="宋体" w:hAnsi="宋体" w:cs="宋体"/>
          <w:sz w:val="21"/>
          <w:u w:val="single"/>
        </w:rPr>
        <w:t xml:space="preserve"> 1</w:t>
      </w:r>
      <w:r>
        <w:rPr>
          <w:rFonts w:ascii="宋体" w:hAnsi="宋体" w:cs="宋体"/>
          <w:sz w:val="21"/>
          <w:u w:val="single"/>
        </w:rPr>
        <w:t>5</w:t>
      </w:r>
      <w:r>
        <w:rPr>
          <w:rFonts w:hint="eastAsia" w:ascii="宋体" w:hAnsi="宋体" w:cs="宋体"/>
          <w:sz w:val="21"/>
          <w:u w:val="single"/>
        </w:rPr>
        <w:t>分钟</w:t>
      </w:r>
      <w:r>
        <w:rPr>
          <w:rFonts w:hint="eastAsia" w:ascii="宋体" w:hAnsi="宋体" w:cs="宋体"/>
          <w:sz w:val="21"/>
        </w:rPr>
        <w:t>响应，</w:t>
      </w:r>
      <w:r>
        <w:rPr>
          <w:rFonts w:ascii="宋体" w:hAnsi="宋体" w:cs="宋体"/>
          <w:sz w:val="21"/>
          <w:u w:val="single"/>
        </w:rPr>
        <w:t>1</w:t>
      </w:r>
      <w:r>
        <w:rPr>
          <w:rFonts w:hint="eastAsia" w:ascii="宋体" w:hAnsi="宋体" w:cs="宋体"/>
          <w:sz w:val="21"/>
          <w:u w:val="single"/>
        </w:rPr>
        <w:t xml:space="preserve">小时 </w:t>
      </w:r>
      <w:r>
        <w:rPr>
          <w:rFonts w:hint="eastAsia" w:ascii="宋体" w:hAnsi="宋体" w:cs="宋体"/>
          <w:sz w:val="21"/>
        </w:rPr>
        <w:t>内到达现场，小型故障恢复时间为</w:t>
      </w:r>
      <w:r>
        <w:rPr>
          <w:rFonts w:hint="eastAsia" w:ascii="宋体" w:hAnsi="宋体" w:cs="宋体"/>
          <w:sz w:val="21"/>
          <w:u w:val="single"/>
        </w:rPr>
        <w:t xml:space="preserve"> 4小时 </w:t>
      </w:r>
      <w:r>
        <w:rPr>
          <w:rFonts w:hint="eastAsia" w:ascii="宋体" w:hAnsi="宋体" w:cs="宋体"/>
          <w:sz w:val="21"/>
        </w:rPr>
        <w:t>内，严重故障恢复时间为</w:t>
      </w:r>
      <w:r>
        <w:rPr>
          <w:rFonts w:hint="eastAsia" w:ascii="宋体" w:hAnsi="宋体" w:cs="宋体"/>
          <w:sz w:val="21"/>
          <w:u w:val="single"/>
        </w:rPr>
        <w:t xml:space="preserve"> 24小时 </w:t>
      </w:r>
      <w:r>
        <w:rPr>
          <w:rFonts w:hint="eastAsia" w:ascii="宋体" w:hAnsi="宋体" w:cs="宋体"/>
          <w:sz w:val="21"/>
        </w:rPr>
        <w:t>内，否则甲方可自行采取必要的措施，由此产生的风险和费用由乙方承担。如有特殊情况，乙方应立即电话通知甲方不能响应的原因，在获得甲方同意后，才可推迟响应时间。</w:t>
      </w:r>
    </w:p>
    <w:p w14:paraId="6297E175">
      <w:pPr>
        <w:pStyle w:val="7"/>
        <w:adjustRightInd w:val="0"/>
        <w:snapToGrid w:val="0"/>
        <w:ind w:firstLine="420" w:firstLineChars="200"/>
        <w:rPr>
          <w:rFonts w:ascii="宋体" w:hAnsi="宋体" w:cs="宋体"/>
          <w:sz w:val="21"/>
        </w:rPr>
      </w:pPr>
      <w:r>
        <w:rPr>
          <w:rFonts w:hint="eastAsia" w:ascii="宋体" w:hAnsi="宋体" w:cs="宋体"/>
          <w:sz w:val="21"/>
        </w:rPr>
        <w:t>（3）质量保证期内乙方应每年至少提供</w:t>
      </w:r>
      <w:r>
        <w:rPr>
          <w:rFonts w:hint="eastAsia" w:ascii="宋体" w:hAnsi="宋体" w:cs="宋体"/>
          <w:sz w:val="21"/>
          <w:u w:val="single"/>
        </w:rPr>
        <w:t xml:space="preserve"> 4 </w:t>
      </w:r>
      <w:r>
        <w:rPr>
          <w:rFonts w:hint="eastAsia" w:ascii="宋体" w:hAnsi="宋体" w:cs="宋体"/>
          <w:sz w:val="21"/>
        </w:rPr>
        <w:t>次定期维护。质保记录应经甲方负责人签字确认并留有书面记录备查，质量保证期内，若乙方未按质保要求进行质保服务或缺少巡检质保记录，乙方须向甲方支付违约金</w:t>
      </w:r>
      <w:r>
        <w:rPr>
          <w:rFonts w:hint="eastAsia" w:ascii="宋体" w:hAnsi="宋体" w:cs="宋体"/>
          <w:sz w:val="21"/>
          <w:u w:val="single"/>
        </w:rPr>
        <w:t>1000</w:t>
      </w:r>
      <w:r>
        <w:rPr>
          <w:rFonts w:hint="eastAsia" w:ascii="宋体" w:hAnsi="宋体" w:cs="宋体"/>
          <w:sz w:val="21"/>
        </w:rPr>
        <w:t>元/次。</w:t>
      </w:r>
    </w:p>
    <w:p w14:paraId="77B11F31">
      <w:pPr>
        <w:pStyle w:val="7"/>
        <w:adjustRightInd w:val="0"/>
        <w:snapToGrid w:val="0"/>
        <w:ind w:firstLine="420" w:firstLineChars="200"/>
        <w:rPr>
          <w:rFonts w:ascii="宋体" w:hAnsi="宋体" w:cs="宋体"/>
          <w:sz w:val="21"/>
        </w:rPr>
      </w:pPr>
      <w:r>
        <w:rPr>
          <w:rFonts w:hint="eastAsia" w:ascii="宋体" w:hAnsi="宋体" w:cs="宋体"/>
          <w:sz w:val="21"/>
        </w:rPr>
        <w:t>（4）无论在质量保证期内还是质量保证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14:paraId="610684E6">
      <w:pPr>
        <w:pStyle w:val="7"/>
        <w:adjustRightInd w:val="0"/>
        <w:snapToGrid w:val="0"/>
        <w:ind w:firstLine="420" w:firstLineChars="200"/>
        <w:rPr>
          <w:rFonts w:ascii="宋体" w:hAnsi="宋体" w:cs="宋体"/>
          <w:sz w:val="21"/>
        </w:rPr>
      </w:pPr>
      <w:r>
        <w:rPr>
          <w:rFonts w:hint="eastAsia" w:ascii="宋体" w:hAnsi="宋体" w:cs="宋体"/>
          <w:sz w:val="21"/>
        </w:rPr>
        <w:t>（5）质量保证期内乙方对甲方提出的合理优化建议应提供免费软件升级服务，保证软件为最新、最高版本。</w:t>
      </w:r>
    </w:p>
    <w:p w14:paraId="52254D2F">
      <w:pPr>
        <w:pStyle w:val="9"/>
        <w:ind w:left="0" w:leftChars="0" w:firstLine="420" w:firstLineChars="200"/>
        <w:rPr>
          <w:rFonts w:ascii="宋体" w:hAnsi="宋体" w:cs="宋体"/>
        </w:rPr>
      </w:pPr>
      <w:r>
        <w:rPr>
          <w:rFonts w:hint="eastAsia" w:ascii="宋体" w:hAnsi="宋体" w:cs="宋体"/>
        </w:rPr>
        <w:t>（6）若货物故障在检修8工作小时后仍无法排除，乙方应在48小时内免费提供不低于故障货物规格型号档次的备用货物供甲方使用，直至故障货物修复。同时乙方承担货物因需要返厂维修而产生运输、搬运等相关费用。</w:t>
      </w:r>
    </w:p>
    <w:p w14:paraId="7C0EF7E9">
      <w:pPr>
        <w:pStyle w:val="9"/>
        <w:ind w:left="0" w:leftChars="0" w:firstLine="420" w:firstLineChars="200"/>
        <w:rPr>
          <w:rFonts w:ascii="宋体" w:hAnsi="宋体" w:cs="宋体"/>
        </w:rPr>
      </w:pPr>
      <w:r>
        <w:rPr>
          <w:rFonts w:hint="eastAsia" w:ascii="宋体" w:hAnsi="宋体" w:cs="宋体"/>
        </w:rPr>
        <w:t>（7）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14:paraId="65499ECD">
      <w:r>
        <w:rPr>
          <w:rFonts w:hint="eastAsia"/>
        </w:rPr>
        <w:t xml:space="preserve">    （8）保修期后的货物和平台维护由双方协商再定。</w:t>
      </w:r>
    </w:p>
    <w:p w14:paraId="545E13BC">
      <w:pPr>
        <w:ind w:firstLine="420" w:firstLineChars="200"/>
      </w:pPr>
      <w:r>
        <w:rPr>
          <w:rFonts w:hint="eastAsia"/>
        </w:rPr>
        <w:t>（9）因甲方后续升级、优化本合同约定管理平台系统或是增加管理平台系统模块等工作，而依法选定的服务供应商不是乙方，乙方需无条件配合相关工作，配合工作包括但不限于提供软件代码、配合数据迁移。</w:t>
      </w:r>
    </w:p>
    <w:p w14:paraId="3827F767">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八、权利与义务</w:t>
      </w:r>
    </w:p>
    <w:p w14:paraId="704AF7AB">
      <w:pPr>
        <w:ind w:firstLine="422" w:firstLineChars="200"/>
        <w:rPr>
          <w:b/>
          <w:bCs/>
        </w:rPr>
      </w:pPr>
      <w:r>
        <w:rPr>
          <w:rFonts w:hint="eastAsia"/>
          <w:b/>
          <w:bCs/>
        </w:rPr>
        <w:t>（一） 甲方的权利与义务</w:t>
      </w:r>
    </w:p>
    <w:p w14:paraId="070C3F61">
      <w:pPr>
        <w:pStyle w:val="7"/>
        <w:adjustRightInd w:val="0"/>
        <w:snapToGrid w:val="0"/>
        <w:ind w:firstLine="420" w:firstLineChars="200"/>
        <w:rPr>
          <w:rFonts w:ascii="宋体" w:hAnsi="宋体" w:cs="宋体"/>
          <w:sz w:val="21"/>
        </w:rPr>
      </w:pPr>
      <w:r>
        <w:rPr>
          <w:rFonts w:hint="eastAsia" w:ascii="宋体" w:hAnsi="宋体" w:cs="宋体"/>
          <w:sz w:val="21"/>
        </w:rPr>
        <w:t>1.按本合同约定方式及时向乙方支付采购费用。</w:t>
      </w:r>
    </w:p>
    <w:p w14:paraId="7BE82136">
      <w:pPr>
        <w:pStyle w:val="7"/>
        <w:adjustRightInd w:val="0"/>
        <w:snapToGrid w:val="0"/>
        <w:ind w:firstLine="420" w:firstLineChars="200"/>
        <w:rPr>
          <w:rFonts w:ascii="宋体" w:hAnsi="宋体" w:cs="宋体"/>
          <w:sz w:val="21"/>
        </w:rPr>
      </w:pPr>
      <w:r>
        <w:rPr>
          <w:rFonts w:hint="eastAsia" w:ascii="宋体" w:hAnsi="宋体" w:cs="宋体"/>
          <w:sz w:val="21"/>
        </w:rPr>
        <w:t>2.如果本项目中定制开发的软件，所有权和知识产权归甲方所有。</w:t>
      </w:r>
    </w:p>
    <w:p w14:paraId="134EFE92">
      <w:pPr>
        <w:pStyle w:val="7"/>
        <w:adjustRightInd w:val="0"/>
        <w:snapToGrid w:val="0"/>
        <w:ind w:firstLine="420" w:firstLineChars="200"/>
        <w:rPr>
          <w:rFonts w:ascii="宋体" w:hAnsi="宋体" w:cs="宋体"/>
          <w:sz w:val="21"/>
        </w:rPr>
      </w:pPr>
      <w:r>
        <w:rPr>
          <w:rFonts w:ascii="宋体" w:hAnsi="宋体" w:cs="宋体"/>
          <w:sz w:val="21"/>
        </w:rPr>
        <w:t>3</w:t>
      </w:r>
      <w:r>
        <w:rPr>
          <w:rFonts w:hint="eastAsia" w:ascii="宋体" w:hAnsi="宋体" w:cs="宋体"/>
          <w:sz w:val="21"/>
        </w:rPr>
        <w:t>.享有本合同中采购软、硬件系统的所有权和使用权。除有特别约定外，乙方按本合同规定向甲方提供的所有技术文档、技术成果属甲乙双方共同所有，甲方保证该技术成果未经乙方同意不转让给第三方。</w:t>
      </w:r>
    </w:p>
    <w:p w14:paraId="5888D485">
      <w:pPr>
        <w:pStyle w:val="7"/>
        <w:adjustRightInd w:val="0"/>
        <w:snapToGrid w:val="0"/>
        <w:ind w:firstLine="420" w:firstLineChars="200"/>
        <w:rPr>
          <w:rFonts w:ascii="宋体" w:hAnsi="宋体" w:cs="宋体"/>
          <w:sz w:val="21"/>
        </w:rPr>
      </w:pPr>
      <w:r>
        <w:rPr>
          <w:rFonts w:ascii="宋体" w:hAnsi="宋体" w:cs="宋体"/>
          <w:sz w:val="21"/>
        </w:rPr>
        <w:t>4</w:t>
      </w:r>
      <w:r>
        <w:rPr>
          <w:rFonts w:hint="eastAsia" w:ascii="宋体" w:hAnsi="宋体" w:cs="宋体"/>
          <w:sz w:val="21"/>
        </w:rPr>
        <w:t>.本项目产生的所有数据成果的知识产权归甲方所有，除数据成果和有特别约之外的其它自主开发软件的知识产权归甲乙双方共同所有，今后双方在此基础上的进一步研发成果的运用需征得合同双方的书面同意，但甲方进一步研发成果用于自用的除外。</w:t>
      </w:r>
    </w:p>
    <w:p w14:paraId="144DD5F9">
      <w:pPr>
        <w:pStyle w:val="7"/>
        <w:adjustRightInd w:val="0"/>
        <w:snapToGrid w:val="0"/>
        <w:ind w:firstLine="420" w:firstLineChars="200"/>
        <w:rPr>
          <w:rFonts w:ascii="宋体" w:hAnsi="宋体" w:cs="宋体"/>
          <w:sz w:val="21"/>
        </w:rPr>
      </w:pPr>
      <w:r>
        <w:rPr>
          <w:rFonts w:ascii="宋体" w:hAnsi="宋体" w:cs="宋体"/>
          <w:sz w:val="21"/>
        </w:rPr>
        <w:t>5</w:t>
      </w:r>
      <w:r>
        <w:rPr>
          <w:rFonts w:hint="eastAsia" w:ascii="宋体" w:hAnsi="宋体" w:cs="宋体"/>
          <w:sz w:val="21"/>
        </w:rPr>
        <w:t>.及时组织验收并与乙方共同签署接收单、验收报告、合格证书等相关单据。</w:t>
      </w:r>
    </w:p>
    <w:p w14:paraId="09167B44">
      <w:pPr>
        <w:pStyle w:val="7"/>
        <w:adjustRightInd w:val="0"/>
        <w:snapToGrid w:val="0"/>
        <w:ind w:firstLine="420" w:firstLineChars="200"/>
        <w:rPr>
          <w:rFonts w:ascii="宋体" w:hAnsi="宋体" w:cs="宋体"/>
          <w:sz w:val="21"/>
        </w:rPr>
      </w:pPr>
      <w:r>
        <w:rPr>
          <w:rFonts w:ascii="宋体" w:hAnsi="宋体" w:cs="宋体"/>
          <w:sz w:val="21"/>
        </w:rPr>
        <w:t>6</w:t>
      </w:r>
      <w:r>
        <w:rPr>
          <w:rFonts w:hint="eastAsia" w:ascii="宋体" w:hAnsi="宋体" w:cs="宋体"/>
          <w:sz w:val="21"/>
        </w:rPr>
        <w:t>.提供必要的业务人员和技术人员配合需求分析、软件开发、系统测试、系统上线工作。</w:t>
      </w:r>
    </w:p>
    <w:p w14:paraId="3E838FF5">
      <w:pPr>
        <w:pStyle w:val="7"/>
        <w:adjustRightInd w:val="0"/>
        <w:snapToGrid w:val="0"/>
        <w:ind w:firstLine="420" w:firstLineChars="200"/>
        <w:rPr>
          <w:rFonts w:ascii="宋体" w:hAnsi="宋体" w:cs="宋体"/>
          <w:sz w:val="21"/>
        </w:rPr>
      </w:pPr>
      <w:r>
        <w:rPr>
          <w:rFonts w:ascii="宋体" w:hAnsi="宋体" w:cs="宋体"/>
          <w:sz w:val="21"/>
        </w:rPr>
        <w:t>7</w:t>
      </w:r>
      <w:r>
        <w:rPr>
          <w:rFonts w:hint="eastAsia" w:ascii="宋体" w:hAnsi="宋体" w:cs="宋体"/>
          <w:sz w:val="21"/>
        </w:rPr>
        <w:t>.负责组织对项目进度、项目质量、合同执行监督检查，负责技术架构的问题处理，设计变更的签证，项目中间验收、进度付款</w:t>
      </w:r>
      <w:r>
        <w:rPr>
          <w:rFonts w:hint="eastAsia" w:ascii="宋体" w:hAnsi="宋体" w:cs="宋体"/>
          <w:color w:val="000000" w:themeColor="text1"/>
          <w:sz w:val="21"/>
          <w14:textFill>
            <w14:solidFill>
              <w14:schemeClr w14:val="tx1"/>
            </w14:solidFill>
          </w14:textFill>
        </w:rPr>
        <w:t>支付审核签证等。</w:t>
      </w:r>
    </w:p>
    <w:p w14:paraId="583682F1">
      <w:pPr>
        <w:pStyle w:val="7"/>
        <w:adjustRightInd w:val="0"/>
        <w:snapToGrid w:val="0"/>
        <w:ind w:firstLine="420" w:firstLineChars="200"/>
        <w:rPr>
          <w:rFonts w:ascii="宋体" w:hAnsi="宋体" w:cs="宋体"/>
          <w:sz w:val="21"/>
        </w:rPr>
      </w:pPr>
      <w:r>
        <w:rPr>
          <w:rFonts w:ascii="宋体" w:hAnsi="宋体" w:cs="宋体"/>
          <w:sz w:val="21"/>
        </w:rPr>
        <w:t>8</w:t>
      </w:r>
      <w:r>
        <w:rPr>
          <w:rFonts w:hint="eastAsia" w:ascii="宋体" w:hAnsi="宋体" w:cs="宋体"/>
          <w:sz w:val="21"/>
        </w:rPr>
        <w:t>.享有本项目功能、方案、设备确认及需求变更的决定权。</w:t>
      </w:r>
    </w:p>
    <w:p w14:paraId="3E4A48B1">
      <w:pPr>
        <w:ind w:firstLine="422" w:firstLineChars="200"/>
        <w:rPr>
          <w:b/>
          <w:bCs/>
        </w:rPr>
      </w:pPr>
      <w:r>
        <w:rPr>
          <w:rFonts w:hint="eastAsia"/>
          <w:b/>
          <w:bCs/>
        </w:rPr>
        <w:t>（二）乙方的权利与义务</w:t>
      </w:r>
    </w:p>
    <w:p w14:paraId="42D392C8">
      <w:pPr>
        <w:pStyle w:val="7"/>
        <w:adjustRightInd w:val="0"/>
        <w:snapToGrid w:val="0"/>
        <w:ind w:firstLine="420" w:firstLineChars="200"/>
        <w:rPr>
          <w:rFonts w:ascii="宋体" w:hAnsi="宋体" w:cs="宋体"/>
          <w:sz w:val="21"/>
        </w:rPr>
      </w:pPr>
      <w:r>
        <w:rPr>
          <w:rFonts w:hint="eastAsia" w:ascii="宋体" w:hAnsi="宋体" w:cs="宋体"/>
          <w:sz w:val="21"/>
        </w:rPr>
        <w:t>1.负责并承担采购过程中的所有报价风险。本合同一经签订，乙方任何原因导致的报价漏项、缺项等的后果均由乙方自行承担。</w:t>
      </w:r>
    </w:p>
    <w:p w14:paraId="49B2CC63">
      <w:pPr>
        <w:pStyle w:val="7"/>
        <w:adjustRightInd w:val="0"/>
        <w:snapToGrid w:val="0"/>
        <w:ind w:firstLine="420" w:firstLineChars="200"/>
        <w:rPr>
          <w:rFonts w:ascii="宋体" w:hAnsi="宋体" w:cs="宋体"/>
          <w:sz w:val="21"/>
        </w:rPr>
      </w:pPr>
      <w:r>
        <w:rPr>
          <w:rFonts w:hint="eastAsia" w:ascii="宋体" w:hAnsi="宋体" w:cs="宋体"/>
          <w:sz w:val="21"/>
        </w:rPr>
        <w:t>2.应在项目实施过程中无条件向甲方提供完整的相关实施文档及技术资料，包括该项目软件的全部源代码和技术文档（含质量保证期内的后续升级版本）等技术资料，以及《用户手册》、《项目实施计划》、《培训手册》等。</w:t>
      </w:r>
    </w:p>
    <w:p w14:paraId="6B57C19C">
      <w:pPr>
        <w:pStyle w:val="7"/>
        <w:adjustRightInd w:val="0"/>
        <w:snapToGrid w:val="0"/>
        <w:ind w:firstLine="420" w:firstLineChars="200"/>
        <w:rPr>
          <w:rFonts w:ascii="宋体" w:hAnsi="宋体" w:cs="宋体"/>
          <w:sz w:val="21"/>
        </w:rPr>
      </w:pPr>
      <w:r>
        <w:rPr>
          <w:rFonts w:hint="eastAsia" w:ascii="宋体" w:hAnsi="宋体" w:cs="宋体"/>
          <w:sz w:val="21"/>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14:paraId="20AB8119">
      <w:pPr>
        <w:pStyle w:val="7"/>
        <w:adjustRightInd w:val="0"/>
        <w:snapToGrid w:val="0"/>
        <w:ind w:firstLine="420" w:firstLineChars="200"/>
        <w:rPr>
          <w:rFonts w:ascii="宋体" w:hAnsi="宋体" w:cs="宋体"/>
          <w:sz w:val="21"/>
        </w:rPr>
      </w:pPr>
      <w:r>
        <w:rPr>
          <w:rFonts w:hint="eastAsia" w:ascii="宋体" w:hAnsi="宋体" w:cs="宋体"/>
          <w:sz w:val="21"/>
        </w:rPr>
        <w:t>4.完善安全质量保证措施，乙方自行承担其履行合同过程产生的所有费用及造成任何财产和人身损失的责任。</w:t>
      </w:r>
    </w:p>
    <w:p w14:paraId="6E8466A2">
      <w:pPr>
        <w:pStyle w:val="7"/>
        <w:tabs>
          <w:tab w:val="left" w:pos="142"/>
        </w:tabs>
        <w:adjustRightInd w:val="0"/>
        <w:snapToGrid w:val="0"/>
        <w:ind w:firstLine="420" w:firstLineChars="200"/>
        <w:rPr>
          <w:rFonts w:ascii="宋体" w:hAnsi="宋体" w:cs="宋体"/>
          <w:sz w:val="21"/>
        </w:rPr>
      </w:pPr>
      <w:r>
        <w:rPr>
          <w:rFonts w:hint="eastAsia" w:ascii="宋体" w:hAnsi="宋体" w:cs="宋体"/>
          <w:sz w:val="21"/>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14:paraId="68624AC9">
      <w:pPr>
        <w:pStyle w:val="7"/>
        <w:adjustRightInd w:val="0"/>
        <w:snapToGrid w:val="0"/>
        <w:ind w:firstLine="420" w:firstLineChars="200"/>
        <w:rPr>
          <w:rFonts w:ascii="宋体" w:hAnsi="宋体" w:cs="宋体"/>
          <w:sz w:val="21"/>
        </w:rPr>
      </w:pPr>
      <w:r>
        <w:rPr>
          <w:rFonts w:hint="eastAsia" w:ascii="宋体" w:hAnsi="宋体" w:cs="宋体"/>
          <w:sz w:val="21"/>
        </w:rPr>
        <w:t>6.乙方保证提供的货物和服务（包括完成本项目需要配备的其他软件产品或组件）不存在任何法律纠纷，且甲方在使用该商品或服务以及其中的任何一部分时，不侵犯任何的专利权、商标权、著作权、工业设计权或其他知识产权，如受到来自第三方的侵权诉讼或索赔，所有责任及由此造成的损失由乙方承担，造成甲方损失的，乙方应全额赔偿；导致甲方产生律师费、交通费、差旅费等费用的，应由乙方承担。</w:t>
      </w:r>
    </w:p>
    <w:p w14:paraId="1DDBFDA1">
      <w:pPr>
        <w:pStyle w:val="7"/>
        <w:adjustRightInd w:val="0"/>
        <w:snapToGrid w:val="0"/>
        <w:ind w:firstLine="420" w:firstLineChars="200"/>
        <w:rPr>
          <w:rFonts w:ascii="宋体" w:hAnsi="宋体" w:cs="宋体"/>
          <w:sz w:val="21"/>
        </w:rPr>
      </w:pPr>
      <w:r>
        <w:rPr>
          <w:rFonts w:hint="eastAsia" w:ascii="宋体" w:hAnsi="宋体" w:cs="宋体"/>
          <w:sz w:val="21"/>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14:paraId="1B9DBF97">
      <w:pPr>
        <w:pStyle w:val="7"/>
        <w:adjustRightInd w:val="0"/>
        <w:snapToGrid w:val="0"/>
        <w:ind w:firstLine="420" w:firstLineChars="200"/>
        <w:rPr>
          <w:rFonts w:ascii="宋体" w:hAnsi="宋体" w:cs="宋体"/>
          <w:sz w:val="21"/>
        </w:rPr>
      </w:pPr>
      <w:r>
        <w:rPr>
          <w:rFonts w:hint="eastAsia" w:ascii="宋体" w:hAnsi="宋体" w:cs="宋体"/>
          <w:sz w:val="21"/>
        </w:rPr>
        <w:t>8.乙方向甲方提供系统的技术培训和支持。</w:t>
      </w:r>
    </w:p>
    <w:p w14:paraId="0DCBBCE1">
      <w:pPr>
        <w:pStyle w:val="7"/>
        <w:adjustRightInd w:val="0"/>
        <w:snapToGrid w:val="0"/>
        <w:ind w:firstLine="420" w:firstLineChars="200"/>
        <w:rPr>
          <w:rFonts w:ascii="宋体" w:hAnsi="宋体" w:cs="宋体"/>
          <w:sz w:val="21"/>
        </w:rPr>
      </w:pPr>
      <w:r>
        <w:rPr>
          <w:rFonts w:hint="eastAsia" w:ascii="宋体" w:hAnsi="宋体" w:cs="宋体"/>
          <w:sz w:val="21"/>
        </w:rPr>
        <w:t>9.乙方在验收时提供相应技术资料。</w:t>
      </w:r>
    </w:p>
    <w:p w14:paraId="5C19BFFB">
      <w:pPr>
        <w:pStyle w:val="7"/>
        <w:adjustRightInd w:val="0"/>
        <w:snapToGrid w:val="0"/>
        <w:ind w:firstLine="420" w:firstLineChars="200"/>
        <w:rPr>
          <w:rFonts w:ascii="宋体" w:hAnsi="宋体" w:cs="宋体"/>
          <w:sz w:val="21"/>
        </w:rPr>
      </w:pPr>
      <w:r>
        <w:rPr>
          <w:rFonts w:hint="eastAsia" w:ascii="宋体" w:hAnsi="宋体" w:cs="宋体"/>
          <w:sz w:val="21"/>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14:paraId="62E6DB85">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sz w:val="21"/>
        </w:rPr>
        <w:t>11.乙方在货物和服务未完全交付甲方之前，乙方需负责已完工项目的保护工作，保护期间发生损坏，乙方自费予以修复。如乙方保护措施不到位，造成甲方</w:t>
      </w:r>
      <w:r>
        <w:rPr>
          <w:rFonts w:hint="eastAsia" w:ascii="宋体" w:hAnsi="宋体" w:cs="宋体"/>
          <w:color w:val="000000" w:themeColor="text1"/>
          <w:sz w:val="21"/>
          <w14:textFill>
            <w14:solidFill>
              <w14:schemeClr w14:val="tx1"/>
            </w14:solidFill>
          </w14:textFill>
        </w:rPr>
        <w:t>数据及设备等任何财产损失的，乙方负责照价赔偿及数据修复。</w:t>
      </w:r>
    </w:p>
    <w:p w14:paraId="4D806744">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12.乙方应免费提供本合同项下的软、硬件系统与甲方其他系统的集成对接服务，并配合甲方的相关评级改造需求。</w:t>
      </w:r>
    </w:p>
    <w:p w14:paraId="52066F66">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13.终验前完成在招标文件范围内的全部个性化修改，质量保证期经双方协商修改个别个性化需求。</w:t>
      </w:r>
    </w:p>
    <w:p w14:paraId="5BEC71C5">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14.如甲方需要对货物和服务的数量进行增加时，乙方应以不高于竞争性磋商响应文件最终报价的优惠幅度提供给甲方。</w:t>
      </w:r>
    </w:p>
    <w:p w14:paraId="18D58AFB">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w:t>
      </w:r>
      <w:r>
        <w:rPr>
          <w:rFonts w:hint="eastAsia" w:ascii="宋体" w:hAnsi="宋体" w:cs="宋体"/>
          <w:color w:val="000000" w:themeColor="text1"/>
          <w:sz w:val="21"/>
          <w14:textFill>
            <w14:solidFill>
              <w14:schemeClr w14:val="tx1"/>
            </w14:solidFill>
          </w14:textFill>
        </w:rPr>
        <w:t>5.</w:t>
      </w:r>
      <w:r>
        <w:rPr>
          <w:rFonts w:ascii="宋体" w:hAnsi="宋体" w:cs="宋体"/>
          <w:color w:val="000000" w:themeColor="text1"/>
          <w:sz w:val="21"/>
          <w14:textFill>
            <w14:solidFill>
              <w14:schemeClr w14:val="tx1"/>
            </w14:solidFill>
          </w14:textFill>
        </w:rPr>
        <w:t>乙方须无条件接受甲方及相关部门的审计、监督和延伸审计。</w:t>
      </w:r>
    </w:p>
    <w:p w14:paraId="53416EB0">
      <w:pPr>
        <w:tabs>
          <w:tab w:val="left" w:pos="993"/>
        </w:tabs>
        <w:adjustRightInd w:val="0"/>
        <w:snapToGrid w:val="0"/>
        <w:spacing w:before="156" w:beforeLines="50" w:after="156" w:afterLines="50"/>
        <w:jc w:val="left"/>
        <w:rPr>
          <w:rFonts w:ascii="宋体" w:hAnsi="宋体" w:cs="宋体"/>
        </w:rPr>
      </w:pPr>
      <w:r>
        <w:rPr>
          <w:rFonts w:hint="eastAsia" w:ascii="宋体" w:hAnsi="宋体" w:cs="宋体"/>
          <w:b/>
          <w:sz w:val="28"/>
          <w:szCs w:val="28"/>
        </w:rPr>
        <w:t>九、保密条款</w:t>
      </w:r>
    </w:p>
    <w:p w14:paraId="104035ED">
      <w:pPr>
        <w:pStyle w:val="7"/>
        <w:adjustRightInd w:val="0"/>
        <w:snapToGrid w:val="0"/>
        <w:ind w:firstLine="420" w:firstLineChars="200"/>
        <w:rPr>
          <w:rFonts w:ascii="宋体" w:hAnsi="宋体" w:cs="宋体"/>
          <w:sz w:val="21"/>
        </w:rPr>
      </w:pPr>
      <w:r>
        <w:rPr>
          <w:rFonts w:hint="eastAsia" w:ascii="宋体" w:hAnsi="宋体" w:cs="宋体"/>
          <w:sz w:val="21"/>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14:paraId="0A616C5D">
      <w:pPr>
        <w:pStyle w:val="7"/>
        <w:adjustRightInd w:val="0"/>
        <w:snapToGrid w:val="0"/>
        <w:ind w:firstLine="420" w:firstLineChars="200"/>
        <w:rPr>
          <w:rFonts w:ascii="宋体" w:hAnsi="宋体" w:cs="宋体"/>
          <w:sz w:val="21"/>
        </w:rPr>
      </w:pPr>
      <w:r>
        <w:rPr>
          <w:rFonts w:hint="eastAsia" w:ascii="宋体" w:hAnsi="宋体" w:cs="宋体"/>
          <w:sz w:val="21"/>
        </w:rPr>
        <w:t>2.根据国家保密法律法规，乙方在参与项目采购、系统建设和服务保障过程中，需严格依法承担保密义务，采取严格有效的内部保密制度和措施，避免无关人员获悉相关信息。</w:t>
      </w:r>
    </w:p>
    <w:p w14:paraId="5686E627">
      <w:pPr>
        <w:pStyle w:val="7"/>
        <w:adjustRightInd w:val="0"/>
        <w:snapToGrid w:val="0"/>
        <w:ind w:firstLine="420" w:firstLineChars="200"/>
        <w:rPr>
          <w:rFonts w:ascii="宋体" w:hAnsi="宋体" w:cs="宋体"/>
          <w:sz w:val="21"/>
        </w:rPr>
      </w:pPr>
      <w:r>
        <w:rPr>
          <w:rFonts w:hint="eastAsia" w:ascii="宋体" w:hAnsi="宋体" w:cs="宋体"/>
          <w:sz w:val="21"/>
        </w:rPr>
        <w:t>3.合同任一方若有违反上述保密规定的，应承担相应法律责任。</w:t>
      </w:r>
    </w:p>
    <w:p w14:paraId="1038531E">
      <w:pPr>
        <w:pStyle w:val="7"/>
        <w:adjustRightInd w:val="0"/>
        <w:snapToGrid w:val="0"/>
        <w:ind w:firstLine="420" w:firstLineChars="200"/>
        <w:rPr>
          <w:rFonts w:ascii="宋体" w:hAnsi="宋体" w:cs="宋体"/>
          <w:sz w:val="21"/>
        </w:rPr>
      </w:pPr>
      <w:r>
        <w:rPr>
          <w:rFonts w:hint="eastAsia" w:ascii="宋体" w:hAnsi="宋体" w:cs="宋体"/>
          <w:sz w:val="21"/>
        </w:rPr>
        <w:t>4.本保密义务应在本合同期满、解除或终止后仍然有效。</w:t>
      </w:r>
    </w:p>
    <w:p w14:paraId="5BD95D6B">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十、违约责任</w:t>
      </w:r>
    </w:p>
    <w:p w14:paraId="3CE1C290">
      <w:pPr>
        <w:pStyle w:val="7"/>
        <w:adjustRightInd w:val="0"/>
        <w:snapToGrid w:val="0"/>
        <w:ind w:firstLine="420" w:firstLineChars="200"/>
        <w:rPr>
          <w:rFonts w:ascii="宋体" w:hAnsi="宋体" w:cs="宋体"/>
          <w:sz w:val="21"/>
        </w:rPr>
      </w:pPr>
      <w:r>
        <w:rPr>
          <w:rFonts w:hint="eastAsia" w:ascii="宋体" w:hAnsi="宋体" w:cs="宋体"/>
          <w:sz w:val="21"/>
        </w:rPr>
        <w:t>1.甲方无正当理由拒收服务的，由甲方向乙方偿付合同总额的</w:t>
      </w:r>
      <w:r>
        <w:rPr>
          <w:rFonts w:ascii="宋体" w:hAnsi="宋体" w:cs="宋体"/>
          <w:sz w:val="21"/>
        </w:rPr>
        <w:t>1</w:t>
      </w:r>
      <w:r>
        <w:rPr>
          <w:rFonts w:hint="eastAsia" w:ascii="宋体" w:hAnsi="宋体" w:cs="宋体"/>
          <w:sz w:val="21"/>
        </w:rPr>
        <w:t>%违约金。</w:t>
      </w:r>
    </w:p>
    <w:p w14:paraId="3BF1EF58">
      <w:pPr>
        <w:pStyle w:val="7"/>
        <w:adjustRightInd w:val="0"/>
        <w:snapToGrid w:val="0"/>
        <w:ind w:firstLine="420" w:firstLineChars="200"/>
        <w:rPr>
          <w:rFonts w:ascii="宋体" w:hAnsi="宋体" w:cs="宋体"/>
          <w:sz w:val="21"/>
        </w:rPr>
      </w:pPr>
      <w:r>
        <w:rPr>
          <w:rFonts w:hint="eastAsia" w:ascii="宋体" w:hAnsi="宋体" w:cs="宋体"/>
          <w:sz w:val="21"/>
        </w:rPr>
        <w:t>2.甲方未按合同规定的期限向乙方支付服务款的，每逾期1天甲方向乙方偿付欠款总额的万分之五滞纳金，但累计滞纳金总额不超过欠款总额的5% 。</w:t>
      </w:r>
    </w:p>
    <w:p w14:paraId="4B77E56D">
      <w:pPr>
        <w:pStyle w:val="7"/>
        <w:adjustRightInd w:val="0"/>
        <w:snapToGrid w:val="0"/>
        <w:ind w:firstLine="420" w:firstLineChars="200"/>
        <w:rPr>
          <w:rFonts w:ascii="宋体" w:hAnsi="宋体" w:cs="宋体"/>
          <w:sz w:val="21"/>
        </w:rPr>
      </w:pPr>
      <w:r>
        <w:rPr>
          <w:rFonts w:hint="eastAsia" w:ascii="宋体" w:hAnsi="宋体" w:cs="宋体"/>
          <w:sz w:val="21"/>
        </w:rPr>
        <w:t>3.乙方逾期交付的，每逾期1天，乙方向甲方偿付合同总额的 5‰的滞纳金。如乙方逾期交付达10天，甲方有权解除合同，解除合同的通知自到达乙方时生效，甲方选择解除合同的，有权要求乙方按照合同总额的3</w:t>
      </w:r>
      <w:r>
        <w:rPr>
          <w:rFonts w:ascii="宋体" w:hAnsi="宋体" w:cs="宋体"/>
          <w:sz w:val="21"/>
        </w:rPr>
        <w:t>0</w:t>
      </w:r>
      <w:r>
        <w:rPr>
          <w:rFonts w:hint="eastAsia" w:ascii="宋体" w:hAnsi="宋体" w:cs="宋体"/>
          <w:sz w:val="21"/>
        </w:rPr>
        <w:t>%支付违约金。</w:t>
      </w:r>
    </w:p>
    <w:p w14:paraId="51A953FF">
      <w:pPr>
        <w:pStyle w:val="7"/>
        <w:adjustRightInd w:val="0"/>
        <w:snapToGrid w:val="0"/>
        <w:ind w:firstLine="420" w:firstLineChars="200"/>
        <w:rPr>
          <w:rFonts w:ascii="宋体" w:hAnsi="宋体" w:cs="宋体"/>
          <w:sz w:val="21"/>
        </w:rPr>
      </w:pPr>
      <w:r>
        <w:rPr>
          <w:rFonts w:hint="eastAsia" w:ascii="宋体" w:hAnsi="宋体" w:cs="宋体"/>
          <w:color w:val="000000" w:themeColor="text1"/>
          <w:sz w:val="21"/>
          <w14:textFill>
            <w14:solidFill>
              <w14:schemeClr w14:val="tx1"/>
            </w14:solidFill>
          </w14:textFill>
        </w:rPr>
        <w:t>4.乙方未按合同规定的质量、技术等标准要求履行合同（包括但不限于交货、安装、调试、质保），每出现一次，应向甲方支付合同总额【5%】的违约金，同时甲方有权拒收，要求乙方进行退货、更换、重做等，同时乙方应按照甲方要求无条件进行整改，直至验收合格。</w:t>
      </w:r>
      <w:r>
        <w:rPr>
          <w:rFonts w:hint="eastAsia" w:ascii="宋体" w:hAnsi="宋体" w:cs="宋体"/>
          <w:sz w:val="21"/>
        </w:rPr>
        <w:t>如果乙方在甲方要求的时间内拒绝整改或经两次整改仍未能验收合格，甲方有权委托合同外其他方采取补救措施或单方直接解除本合同，因此造成的损失和费用由乙方承担。</w:t>
      </w:r>
    </w:p>
    <w:p w14:paraId="68084FD3">
      <w:pPr>
        <w:pStyle w:val="9"/>
        <w:ind w:left="0" w:leftChars="0" w:firstLine="420" w:firstLineChars="200"/>
        <w:rPr>
          <w:rFonts w:ascii="宋体" w:hAnsi="宋体" w:cs="宋体"/>
        </w:rPr>
      </w:pPr>
      <w:r>
        <w:rPr>
          <w:rFonts w:hint="eastAsia" w:ascii="宋体" w:hAnsi="宋体" w:cs="宋体"/>
        </w:rPr>
        <w:t>5.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14:paraId="21EB4AF7">
      <w:pPr>
        <w:pStyle w:val="9"/>
        <w:ind w:left="0" w:leftChars="0" w:firstLine="420" w:firstLineChars="200"/>
        <w:rPr>
          <w:rFonts w:ascii="宋体" w:hAnsi="宋体" w:cs="宋体"/>
        </w:rPr>
      </w:pPr>
      <w:r>
        <w:rPr>
          <w:rFonts w:hint="eastAsia" w:ascii="宋体" w:hAnsi="宋体" w:cs="宋体"/>
        </w:rPr>
        <w:t>6.乙方发生下列违约行为，应按合同总额的30%计算向甲方支付违约金。</w:t>
      </w:r>
    </w:p>
    <w:p w14:paraId="5AA79C21">
      <w:pPr>
        <w:pStyle w:val="9"/>
        <w:ind w:left="0" w:leftChars="0" w:firstLine="420" w:firstLineChars="200"/>
        <w:rPr>
          <w:rFonts w:ascii="宋体" w:hAnsi="宋体" w:cs="宋体"/>
        </w:rPr>
      </w:pPr>
      <w:r>
        <w:rPr>
          <w:rFonts w:hint="eastAsia" w:ascii="宋体" w:hAnsi="宋体" w:cs="宋体"/>
        </w:rPr>
        <w:t>（1）乙方未能对从系统中获得的甲方医疗信息和患者诊疗信息</w:t>
      </w:r>
      <w:bookmarkStart w:id="33" w:name="_Hlk79416780"/>
      <w:r>
        <w:rPr>
          <w:rFonts w:hint="eastAsia" w:ascii="宋体" w:hAnsi="宋体" w:cs="宋体"/>
        </w:rPr>
        <w:t>或其他因本合同履行所获取的信息</w:t>
      </w:r>
      <w:bookmarkEnd w:id="33"/>
      <w:r>
        <w:rPr>
          <w:rFonts w:hint="eastAsia" w:ascii="宋体" w:hAnsi="宋体" w:cs="宋体"/>
        </w:rPr>
        <w:t>永久保密。</w:t>
      </w:r>
    </w:p>
    <w:p w14:paraId="6B1D72E1">
      <w:pPr>
        <w:pStyle w:val="9"/>
        <w:ind w:left="0" w:leftChars="0" w:firstLine="420" w:firstLineChars="200"/>
        <w:rPr>
          <w:rFonts w:ascii="宋体" w:hAnsi="宋体" w:cs="宋体"/>
        </w:rPr>
      </w:pPr>
      <w:r>
        <w:rPr>
          <w:rFonts w:hint="eastAsia" w:ascii="宋体" w:hAnsi="宋体" w:cs="宋体"/>
        </w:rPr>
        <w:t>（2）乙方在甲方提供维护的工程技术人员，未经甲方同意或未按甲方要求给甲方造成损失的。</w:t>
      </w:r>
    </w:p>
    <w:p w14:paraId="63CD1A39">
      <w:pPr>
        <w:pStyle w:val="9"/>
        <w:ind w:left="0" w:leftChars="0" w:firstLine="420" w:firstLineChars="200"/>
        <w:rPr>
          <w:rFonts w:ascii="宋体" w:hAnsi="宋体" w:cs="宋体"/>
        </w:rPr>
      </w:pPr>
      <w:r>
        <w:rPr>
          <w:rFonts w:hint="eastAsia" w:ascii="宋体" w:hAnsi="宋体" w:cs="宋体"/>
        </w:rPr>
        <w:t>（3）乙方违反《南京</w:t>
      </w:r>
      <w:r>
        <w:rPr>
          <w:rFonts w:hint="eastAsia" w:ascii="宋体" w:hAnsi="宋体" w:cs="宋体"/>
          <w:u w:val="single"/>
        </w:rPr>
        <w:t>市疾病预防控制中心</w:t>
      </w:r>
      <w:r>
        <w:rPr>
          <w:rFonts w:hint="eastAsia" w:ascii="宋体" w:hAnsi="宋体" w:cs="宋体"/>
        </w:rPr>
        <w:t>单位物资购销廉洁条例》的规定。</w:t>
      </w:r>
      <w:r>
        <w:rPr>
          <w:rFonts w:hint="eastAsia" w:ascii="宋体" w:hAnsi="宋体" w:cs="宋体"/>
        </w:rPr>
        <w:tab/>
      </w:r>
    </w:p>
    <w:p w14:paraId="4E73D98B">
      <w:r>
        <w:rPr>
          <w:rFonts w:hint="eastAsia"/>
        </w:rPr>
        <w:t>（4）乙方单方解除本合同或擅自不履行本合同义务。</w:t>
      </w:r>
    </w:p>
    <w:p w14:paraId="4D6D855C">
      <w:pPr>
        <w:pStyle w:val="9"/>
        <w:ind w:left="0" w:leftChars="0" w:firstLine="420" w:firstLineChars="200"/>
        <w:rPr>
          <w:rFonts w:ascii="宋体" w:hAnsi="宋体" w:cs="宋体"/>
        </w:rPr>
      </w:pPr>
      <w:r>
        <w:rPr>
          <w:rFonts w:hint="eastAsia" w:ascii="宋体" w:hAnsi="宋体" w:cs="宋体"/>
        </w:rPr>
        <w:t>7.乙方有下列情形之一的，甲方有权单方直接解除合同：</w:t>
      </w:r>
    </w:p>
    <w:p w14:paraId="7DA1E86B">
      <w:pPr>
        <w:pStyle w:val="9"/>
        <w:ind w:left="0" w:leftChars="0" w:firstLine="420" w:firstLineChars="200"/>
        <w:rPr>
          <w:rFonts w:ascii="宋体" w:hAnsi="宋体" w:cs="宋体"/>
        </w:rPr>
      </w:pPr>
      <w:r>
        <w:rPr>
          <w:rFonts w:hint="eastAsia" w:ascii="宋体" w:hAnsi="宋体" w:cs="宋体"/>
        </w:rPr>
        <w:t>（1）未经甲方书面同意，将本合同约定权利义务转让给第三方；</w:t>
      </w:r>
    </w:p>
    <w:p w14:paraId="475E5472">
      <w:pPr>
        <w:pStyle w:val="9"/>
        <w:ind w:left="0" w:leftChars="0" w:firstLine="420" w:firstLineChars="200"/>
        <w:rPr>
          <w:rFonts w:ascii="宋体" w:hAnsi="宋体" w:cs="宋体"/>
        </w:rPr>
      </w:pPr>
      <w:r>
        <w:rPr>
          <w:rFonts w:hint="eastAsia" w:ascii="宋体" w:hAnsi="宋体" w:cs="宋体"/>
        </w:rPr>
        <w:t>（2）合同履行过程中出现侵犯他人合法权益的事项，包括但不限于知识产权、人身财产权益等；</w:t>
      </w:r>
    </w:p>
    <w:p w14:paraId="08DA71C2">
      <w:pPr>
        <w:pStyle w:val="9"/>
        <w:ind w:left="0" w:leftChars="0" w:firstLine="420" w:firstLineChars="200"/>
        <w:rPr>
          <w:rFonts w:ascii="宋体" w:hAnsi="宋体" w:cs="宋体"/>
        </w:rPr>
      </w:pPr>
      <w:r>
        <w:rPr>
          <w:rFonts w:hint="eastAsia" w:ascii="宋体" w:hAnsi="宋体" w:cs="宋体"/>
        </w:rPr>
        <w:t>（3）未履行合同信息保密和使用约定的；</w:t>
      </w:r>
    </w:p>
    <w:p w14:paraId="3F4AD8DF">
      <w:pPr>
        <w:pStyle w:val="9"/>
        <w:ind w:left="0" w:leftChars="0" w:firstLine="420" w:firstLineChars="200"/>
        <w:rPr>
          <w:rFonts w:ascii="宋体" w:hAnsi="宋体" w:cs="宋体"/>
        </w:rPr>
      </w:pPr>
      <w:r>
        <w:rPr>
          <w:rFonts w:hint="eastAsia" w:ascii="宋体" w:hAnsi="宋体" w:cs="宋体"/>
        </w:rPr>
        <w:t>（4）未履行本合同约定其他义务的，经甲方催告后7日内，仍未整改的。</w:t>
      </w:r>
    </w:p>
    <w:p w14:paraId="356EC219">
      <w:pPr>
        <w:pStyle w:val="7"/>
        <w:adjustRightInd w:val="0"/>
        <w:snapToGrid w:val="0"/>
        <w:ind w:firstLine="420" w:firstLineChars="200"/>
        <w:rPr>
          <w:rFonts w:ascii="宋体" w:hAnsi="宋体" w:cs="宋体"/>
          <w:sz w:val="21"/>
        </w:rPr>
      </w:pPr>
      <w:r>
        <w:rPr>
          <w:rFonts w:hint="eastAsia" w:ascii="宋体" w:hAnsi="宋体" w:cs="宋体"/>
          <w:sz w:val="21"/>
        </w:rPr>
        <w:t>8.乙方出现违约行为并承担违约责任时，甲方有权从应支付给乙方的合同款项中直接扣除违约金、赔偿金等所有违约责任费用；合同款项不足以扣除的，乙方应在收到甲方通知后的7日内予以补足。</w:t>
      </w:r>
    </w:p>
    <w:p w14:paraId="7518FFD0">
      <w:pPr>
        <w:pStyle w:val="7"/>
        <w:adjustRightInd w:val="0"/>
        <w:snapToGrid w:val="0"/>
        <w:ind w:firstLine="420" w:firstLineChars="200"/>
        <w:rPr>
          <w:rFonts w:ascii="宋体" w:hAnsi="宋体" w:cs="宋体"/>
          <w:sz w:val="21"/>
        </w:rPr>
      </w:pPr>
      <w:r>
        <w:rPr>
          <w:rFonts w:hint="eastAsia" w:ascii="宋体" w:hAnsi="宋体" w:cs="宋体"/>
          <w:sz w:val="21"/>
        </w:rPr>
        <w:t>9.乙方交付的各项违约金并不影响乙方继续履行本合同的各项义务。</w:t>
      </w:r>
    </w:p>
    <w:p w14:paraId="5B1ABA62">
      <w:pPr>
        <w:pStyle w:val="7"/>
        <w:adjustRightInd w:val="0"/>
        <w:snapToGrid w:val="0"/>
        <w:ind w:firstLine="420" w:firstLineChars="200"/>
        <w:rPr>
          <w:rFonts w:ascii="宋体" w:hAnsi="宋体" w:cs="宋体"/>
          <w:sz w:val="21"/>
        </w:rPr>
      </w:pPr>
      <w:r>
        <w:rPr>
          <w:rFonts w:hint="eastAsia" w:ascii="宋体" w:hAnsi="宋体" w:cs="宋体"/>
          <w:sz w:val="21"/>
        </w:rPr>
        <w:t>10.乙方若违反“违约责任”第4款或第5款均视为对本协议的重大违约，甲方有权随时书面通知乙方立即解除本合同。</w:t>
      </w:r>
    </w:p>
    <w:p w14:paraId="2B6D2A21">
      <w:pPr>
        <w:pStyle w:val="7"/>
        <w:adjustRightInd w:val="0"/>
        <w:snapToGrid w:val="0"/>
        <w:ind w:firstLine="420" w:firstLineChars="200"/>
        <w:rPr>
          <w:rFonts w:ascii="宋体" w:hAnsi="宋体" w:cs="宋体"/>
          <w:sz w:val="21"/>
        </w:rPr>
      </w:pPr>
      <w:r>
        <w:rPr>
          <w:rFonts w:hint="eastAsia" w:ascii="宋体" w:hAnsi="宋体" w:cs="宋体"/>
          <w:sz w:val="21"/>
        </w:rPr>
        <w:t>11.因乙方违约行为给甲方造成损失（包括甲方所有直接和间接损失），如果违约金不足以补偿该损失部分的，甲方有权继续要求乙方赔偿甲方所有实际损失</w:t>
      </w:r>
      <w:bookmarkStart w:id="34" w:name="_Hlk79413339"/>
      <w:r>
        <w:rPr>
          <w:rFonts w:hint="eastAsia" w:ascii="宋体" w:hAnsi="宋体" w:cs="宋体"/>
          <w:sz w:val="21"/>
        </w:rPr>
        <w:t>（含律师费、差旅费、交通费等维权费用）</w:t>
      </w:r>
      <w:bookmarkEnd w:id="34"/>
      <w:r>
        <w:rPr>
          <w:rFonts w:hint="eastAsia" w:ascii="宋体" w:hAnsi="宋体" w:cs="宋体"/>
          <w:sz w:val="21"/>
        </w:rPr>
        <w:t>。</w:t>
      </w:r>
    </w:p>
    <w:p w14:paraId="15F5F661">
      <w:pPr>
        <w:pStyle w:val="7"/>
        <w:adjustRightInd w:val="0"/>
        <w:snapToGrid w:val="0"/>
        <w:ind w:firstLine="420" w:firstLineChars="200"/>
        <w:rPr>
          <w:rFonts w:ascii="宋体" w:hAnsi="宋体" w:cs="宋体"/>
          <w:sz w:val="21"/>
        </w:rPr>
      </w:pPr>
      <w:r>
        <w:rPr>
          <w:rFonts w:hint="eastAsia" w:ascii="宋体" w:hAnsi="宋体" w:cs="宋体"/>
          <w:sz w:val="21"/>
        </w:rPr>
        <w:t>12.在乙方承诺的或国家规定的质量保证期内（取两者中最长的期限），如经乙方两次整改仍不能达到合同约定的质量标准，乙方应退回全部合同价款，并按本条第3款处理，同时，乙方还须赔偿甲方因此遭受的损失。</w:t>
      </w:r>
    </w:p>
    <w:p w14:paraId="17F9982B">
      <w:pPr>
        <w:pStyle w:val="7"/>
        <w:adjustRightInd w:val="0"/>
        <w:snapToGrid w:val="0"/>
        <w:ind w:firstLine="420" w:firstLineChars="200"/>
        <w:rPr>
          <w:rFonts w:ascii="宋体" w:hAnsi="宋体" w:cs="宋体"/>
          <w:sz w:val="21"/>
        </w:rPr>
      </w:pPr>
      <w:r>
        <w:rPr>
          <w:rFonts w:hint="eastAsia" w:ascii="宋体" w:hAnsi="宋体" w:cs="宋体"/>
          <w:sz w:val="21"/>
        </w:rPr>
        <w:t>13.乙方未按本合同的规定和服务承诺提供伴随服务、售后服务的，应按合同总额的30%向甲方承担违约责任。</w:t>
      </w:r>
    </w:p>
    <w:p w14:paraId="5D4F748C">
      <w:pPr>
        <w:pStyle w:val="7"/>
        <w:adjustRightInd w:val="0"/>
        <w:snapToGrid w:val="0"/>
        <w:ind w:firstLine="420" w:firstLineChars="200"/>
        <w:rPr>
          <w:rFonts w:ascii="宋体" w:hAnsi="宋体" w:cs="宋体"/>
          <w:sz w:val="21"/>
        </w:rPr>
      </w:pPr>
      <w:r>
        <w:rPr>
          <w:rFonts w:hint="eastAsia" w:ascii="宋体" w:hAnsi="宋体" w:cs="宋体"/>
          <w:sz w:val="21"/>
        </w:rPr>
        <w:t>14.乙方在承担上述</w:t>
      </w:r>
      <w:r>
        <w:rPr>
          <w:rFonts w:ascii="宋体" w:hAnsi="宋体" w:cs="宋体"/>
          <w:sz w:val="21"/>
        </w:rPr>
        <w:t>3</w:t>
      </w:r>
      <w:r>
        <w:rPr>
          <w:rFonts w:hint="eastAsia" w:ascii="宋体" w:hAnsi="宋体" w:cs="宋体"/>
          <w:sz w:val="21"/>
        </w:rPr>
        <w:t>-7款一项或多项违约责任后，仍应继续履行合同规定的义务（甲方解除合同的除外）。甲方未能及时追究乙方的任何一项违约责任并不表明甲方放弃追究乙方该项或其他违约责任。</w:t>
      </w:r>
    </w:p>
    <w:p w14:paraId="4C371146">
      <w:pPr>
        <w:pStyle w:val="7"/>
        <w:adjustRightInd w:val="0"/>
        <w:snapToGrid w:val="0"/>
        <w:ind w:firstLine="420" w:firstLineChars="200"/>
        <w:rPr>
          <w:rFonts w:ascii="宋体" w:hAnsi="宋体" w:cs="宋体"/>
          <w:sz w:val="21"/>
        </w:rPr>
      </w:pPr>
      <w:r>
        <w:rPr>
          <w:rFonts w:hint="eastAsia" w:ascii="宋体" w:hAnsi="宋体" w:cs="宋体"/>
          <w:sz w:val="21"/>
        </w:rPr>
        <w:t>15.乙方响应属虚假承诺，经国家认可的质量检测机构测提供的服务不能满足竞争性磋商文件要求，或是由于乙方的过错造成合同无法继续履行的，乙方履约保证金不予退还外，还应向甲方支付不少于合同总额30%赔偿金，并由乙方承担鉴定费用。</w:t>
      </w:r>
    </w:p>
    <w:p w14:paraId="779E9247">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十一、争议的解决</w:t>
      </w:r>
    </w:p>
    <w:p w14:paraId="195EA48F">
      <w:pPr>
        <w:ind w:firstLine="420" w:firstLineChars="200"/>
        <w:rPr>
          <w:rFonts w:ascii="宋体" w:hAnsi="宋体" w:cs="宋体"/>
        </w:rPr>
      </w:pPr>
      <w:r>
        <w:rPr>
          <w:rFonts w:hint="eastAsia" w:ascii="宋体" w:hAnsi="宋体" w:cs="宋体"/>
        </w:rPr>
        <w:t>双方应本着友好协商的原则，解决与本合同有关的一切争议。如一方不愿协商或协商开始后30日内无法解决的，应提交甲方所在地有管辖权的人民法院裁决。</w:t>
      </w:r>
    </w:p>
    <w:p w14:paraId="5EDBB1AD">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十二、合同生效及其他</w:t>
      </w:r>
    </w:p>
    <w:p w14:paraId="2D3C2EBD">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1.本合同一式</w:t>
      </w:r>
      <w:r>
        <w:rPr>
          <w:rFonts w:hint="eastAsia" w:ascii="宋体" w:hAnsi="宋体" w:cs="宋体"/>
          <w:sz w:val="21"/>
        </w:rPr>
        <w:t>八</w:t>
      </w:r>
      <w:r>
        <w:rPr>
          <w:rFonts w:hint="eastAsia" w:ascii="宋体" w:hAnsi="宋体" w:cs="宋体"/>
          <w:sz w:val="21"/>
          <w:lang w:val="zh-CN"/>
        </w:rPr>
        <w:t>份，</w:t>
      </w:r>
      <w:r>
        <w:rPr>
          <w:rFonts w:hint="eastAsia" w:ascii="宋体" w:hAnsi="宋体" w:cs="宋体"/>
          <w:sz w:val="21"/>
        </w:rPr>
        <w:t>甲乙双方各执四份，经双方授权代表签字并加盖公章和骑缝章后生效，未尽事宜双方协商解决</w:t>
      </w:r>
      <w:r>
        <w:rPr>
          <w:rFonts w:hint="eastAsia" w:ascii="宋体" w:hAnsi="宋体" w:cs="宋体"/>
          <w:sz w:val="21"/>
          <w:lang w:val="zh-CN"/>
        </w:rPr>
        <w:t>。</w:t>
      </w:r>
    </w:p>
    <w:p w14:paraId="78D9C9EB">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2.本合同应按照中华人民共和国的现行法律进行解释。</w:t>
      </w:r>
    </w:p>
    <w:p w14:paraId="56244497">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3</w:t>
      </w:r>
      <w:r>
        <w:rPr>
          <w:rFonts w:ascii="宋体" w:hAnsi="宋体" w:cs="宋体"/>
          <w:sz w:val="21"/>
          <w:lang w:val="zh-CN"/>
        </w:rPr>
        <w:t>.</w:t>
      </w:r>
      <w:r>
        <w:rPr>
          <w:rFonts w:hint="eastAsia" w:ascii="宋体" w:hAnsi="宋体" w:cs="宋体"/>
          <w:sz w:val="21"/>
          <w:lang w:val="zh-CN"/>
        </w:rPr>
        <w:t>本合同载明的地址为双方确认的各项通知、函件、法律文书（包括律师函、传票、判决书、裁定书等）送达地址，对方或相关单位、部门向上述地址发送通知、函件或法律文书即视为送达（一方拒收或者第三人代收均视为送达）。如需变更地址应提前【7】日书面通知对方，否则自行承担不利后果。</w:t>
      </w:r>
    </w:p>
    <w:p w14:paraId="48683763">
      <w:pPr>
        <w:tabs>
          <w:tab w:val="left" w:pos="993"/>
        </w:tabs>
        <w:adjustRightInd w:val="0"/>
        <w:snapToGrid w:val="0"/>
        <w:spacing w:before="156" w:beforeLines="50" w:after="156" w:afterLines="50"/>
        <w:jc w:val="left"/>
        <w:rPr>
          <w:rFonts w:ascii="宋体" w:hAnsi="宋体" w:cs="宋体"/>
          <w:b/>
          <w:sz w:val="28"/>
          <w:szCs w:val="28"/>
          <w:lang w:val="zh-CN"/>
        </w:rPr>
      </w:pPr>
    </w:p>
    <w:p w14:paraId="6121A555">
      <w:pPr>
        <w:tabs>
          <w:tab w:val="left" w:pos="993"/>
        </w:tabs>
        <w:adjustRightInd w:val="0"/>
        <w:snapToGrid w:val="0"/>
        <w:spacing w:before="156" w:beforeLines="50" w:after="156" w:afterLines="50"/>
        <w:jc w:val="left"/>
        <w:rPr>
          <w:rFonts w:ascii="宋体" w:hAnsi="宋体" w:cs="宋体"/>
          <w:b/>
          <w:sz w:val="28"/>
          <w:szCs w:val="28"/>
          <w:lang w:val="zh-CN"/>
        </w:rPr>
      </w:pPr>
    </w:p>
    <w:p w14:paraId="62D09BF2">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lang w:val="zh-CN"/>
        </w:rPr>
        <w:t>合同附件：</w:t>
      </w:r>
    </w:p>
    <w:p w14:paraId="77FB8C98">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附件1：《配置清单》</w:t>
      </w:r>
    </w:p>
    <w:p w14:paraId="084DA2D3">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附件2：《产品功能简介》</w:t>
      </w:r>
    </w:p>
    <w:p w14:paraId="256C3905">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附件3：《验收标准》</w:t>
      </w:r>
    </w:p>
    <w:p w14:paraId="43D4296B">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附件4：《安全生产承诺书》</w:t>
      </w:r>
    </w:p>
    <w:p w14:paraId="3D45B4FB">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附件5：《南京</w:t>
      </w:r>
      <w:r>
        <w:rPr>
          <w:rFonts w:hint="eastAsia" w:ascii="宋体" w:hAnsi="宋体" w:cs="宋体"/>
          <w:sz w:val="21"/>
          <w:u w:val="single"/>
        </w:rPr>
        <w:t xml:space="preserve"> 市疾病预防控制中心 </w:t>
      </w:r>
      <w:r>
        <w:rPr>
          <w:rFonts w:hint="eastAsia" w:ascii="宋体" w:hAnsi="宋体" w:cs="宋体"/>
          <w:sz w:val="21"/>
          <w:lang w:val="zh-CN"/>
        </w:rPr>
        <w:t>资购销廉洁条例》</w:t>
      </w:r>
    </w:p>
    <w:p w14:paraId="363CC31F">
      <w:pPr>
        <w:spacing w:line="360" w:lineRule="auto"/>
        <w:ind w:left="10" w:hanging="10"/>
        <w:jc w:val="left"/>
        <w:rPr>
          <w:rFonts w:ascii="宋体" w:hAnsi="宋体"/>
          <w:b/>
          <w:bCs/>
        </w:rPr>
      </w:pPr>
    </w:p>
    <w:p w14:paraId="5416501B">
      <w:pPr>
        <w:spacing w:line="360" w:lineRule="auto"/>
        <w:ind w:left="10" w:hanging="10"/>
        <w:jc w:val="left"/>
        <w:rPr>
          <w:rFonts w:ascii="宋体" w:hAnsi="宋体"/>
          <w:b/>
          <w:bCs/>
        </w:rPr>
      </w:pPr>
    </w:p>
    <w:p w14:paraId="770BFF76"/>
    <w:p w14:paraId="22544209">
      <w:pPr>
        <w:pStyle w:val="9"/>
        <w:ind w:left="1260"/>
      </w:pPr>
    </w:p>
    <w:p w14:paraId="157629F7">
      <w:pPr>
        <w:spacing w:line="480" w:lineRule="auto"/>
        <w:ind w:left="11" w:hanging="10"/>
        <w:jc w:val="left"/>
        <w:rPr>
          <w:rFonts w:ascii="宋体" w:hAnsi="宋体"/>
          <w:b/>
          <w:bCs/>
          <w:u w:val="single"/>
        </w:rPr>
      </w:pPr>
      <w:r>
        <w:rPr>
          <w:rFonts w:hint="eastAsia" w:ascii="宋体" w:hAnsi="宋体"/>
          <w:b/>
          <w:bCs/>
        </w:rPr>
        <w:t>甲方：</w:t>
      </w:r>
      <w:r>
        <w:rPr>
          <w:rFonts w:hint="eastAsia" w:ascii="宋体" w:hAnsi="宋体"/>
          <w:b/>
          <w:bCs/>
          <w:u w:val="single"/>
        </w:rPr>
        <w:t xml:space="preserve"> 南京市疾病预防控制中心 </w:t>
      </w:r>
      <w:r>
        <w:rPr>
          <w:rFonts w:hint="eastAsia" w:ascii="宋体" w:hAnsi="宋体"/>
          <w:b/>
          <w:bCs/>
        </w:rPr>
        <w:t>乙方：</w:t>
      </w:r>
    </w:p>
    <w:p w14:paraId="7134A246">
      <w:pPr>
        <w:spacing w:line="480" w:lineRule="auto"/>
        <w:ind w:left="11" w:firstLine="2319" w:firstLineChars="1100"/>
        <w:jc w:val="left"/>
        <w:rPr>
          <w:rFonts w:ascii="宋体" w:hAnsi="宋体"/>
          <w:b/>
          <w:bCs/>
          <w:u w:val="single"/>
        </w:rPr>
      </w:pPr>
      <w:r>
        <w:rPr>
          <w:rFonts w:hint="eastAsia" w:ascii="宋体" w:hAnsi="宋体"/>
          <w:b/>
          <w:bCs/>
        </w:rPr>
        <w:t>（盖章） （盖章）</w:t>
      </w:r>
    </w:p>
    <w:p w14:paraId="0B424474">
      <w:pPr>
        <w:spacing w:line="480" w:lineRule="auto"/>
        <w:ind w:left="11" w:hanging="10"/>
        <w:jc w:val="left"/>
        <w:rPr>
          <w:rFonts w:ascii="宋体" w:hAnsi="宋体"/>
          <w:b/>
          <w:bCs/>
        </w:rPr>
      </w:pPr>
      <w:r>
        <w:rPr>
          <w:rFonts w:hint="eastAsia" w:ascii="宋体" w:hAnsi="宋体"/>
          <w:b/>
          <w:bCs/>
        </w:rPr>
        <w:t>地址：</w:t>
      </w:r>
      <w:bookmarkStart w:id="35" w:name="_Hlk79066640"/>
      <w:r>
        <w:rPr>
          <w:rFonts w:hint="eastAsia" w:ascii="宋体" w:hAnsi="宋体"/>
          <w:b/>
          <w:bCs/>
          <w:u w:val="single"/>
        </w:rPr>
        <w:t>南京市鼓楼区紫竹林2号</w:t>
      </w:r>
      <w:bookmarkEnd w:id="35"/>
      <w:r>
        <w:rPr>
          <w:rFonts w:hint="eastAsia" w:ascii="宋体" w:hAnsi="宋体"/>
          <w:b/>
          <w:bCs/>
        </w:rPr>
        <w:t>地址：</w:t>
      </w:r>
    </w:p>
    <w:p w14:paraId="0848D4B6">
      <w:pPr>
        <w:spacing w:line="480" w:lineRule="auto"/>
        <w:ind w:left="11" w:hanging="10"/>
        <w:jc w:val="left"/>
        <w:rPr>
          <w:rFonts w:ascii="宋体" w:hAnsi="宋体"/>
          <w:b/>
          <w:bCs/>
        </w:rPr>
      </w:pPr>
      <w:r>
        <w:rPr>
          <w:rFonts w:hint="eastAsia" w:ascii="宋体" w:hAnsi="宋体"/>
          <w:b/>
          <w:bCs/>
        </w:rPr>
        <w:t>邮编：</w:t>
      </w:r>
      <w:r>
        <w:rPr>
          <w:rFonts w:ascii="宋体" w:hAnsi="宋体"/>
          <w:b/>
          <w:bCs/>
          <w:u w:val="single"/>
        </w:rPr>
        <w:t>210000</w:t>
      </w:r>
      <w:r>
        <w:rPr>
          <w:rFonts w:hint="eastAsia" w:ascii="宋体" w:hAnsi="宋体"/>
          <w:b/>
          <w:bCs/>
        </w:rPr>
        <w:t xml:space="preserve"> 传真：</w:t>
      </w:r>
      <w:r>
        <w:rPr>
          <w:rFonts w:ascii="宋体" w:hAnsi="宋体"/>
          <w:b/>
          <w:bCs/>
          <w:u w:val="single"/>
        </w:rPr>
        <w:t>83538309</w:t>
      </w:r>
      <w:r>
        <w:rPr>
          <w:rFonts w:hint="eastAsia" w:ascii="宋体" w:hAnsi="宋体"/>
          <w:b/>
          <w:bCs/>
        </w:rPr>
        <w:t xml:space="preserve">  邮编： 传真：</w:t>
      </w:r>
    </w:p>
    <w:p w14:paraId="6D14F0ED">
      <w:pPr>
        <w:spacing w:line="480" w:lineRule="auto"/>
        <w:ind w:left="11" w:hanging="10"/>
        <w:jc w:val="left"/>
        <w:rPr>
          <w:rFonts w:ascii="宋体" w:hAnsi="宋体"/>
          <w:b/>
          <w:bCs/>
          <w:u w:val="single"/>
        </w:rPr>
      </w:pPr>
      <w:r>
        <w:rPr>
          <w:rFonts w:hint="eastAsia" w:ascii="宋体" w:hAnsi="宋体"/>
          <w:b/>
          <w:bCs/>
        </w:rPr>
        <w:t>电话：（手机）</w:t>
      </w:r>
      <w:bookmarkStart w:id="36" w:name="_Hlk79066744"/>
      <w:r>
        <w:rPr>
          <w:rFonts w:ascii="宋体" w:hAnsi="宋体"/>
          <w:b/>
          <w:bCs/>
          <w:u w:val="single"/>
        </w:rPr>
        <w:t>025-83538389</w:t>
      </w:r>
      <w:bookmarkEnd w:id="36"/>
      <w:r>
        <w:rPr>
          <w:rFonts w:hint="eastAsia" w:ascii="宋体" w:hAnsi="宋体"/>
          <w:b/>
          <w:bCs/>
        </w:rPr>
        <w:t>电话：（手机）</w:t>
      </w:r>
    </w:p>
    <w:p w14:paraId="576BB7BF">
      <w:pPr>
        <w:spacing w:line="480" w:lineRule="auto"/>
        <w:ind w:left="11" w:hanging="10"/>
        <w:jc w:val="left"/>
        <w:rPr>
          <w:rFonts w:ascii="宋体" w:hAnsi="宋体"/>
          <w:b/>
          <w:bCs/>
          <w:u w:val="single"/>
        </w:rPr>
      </w:pPr>
      <w:r>
        <w:rPr>
          <w:rFonts w:hint="eastAsia" w:ascii="宋体" w:hAnsi="宋体"/>
          <w:b/>
          <w:bCs/>
        </w:rPr>
        <w:t>法定代表或授权代表人：法定代表或授权代表人：</w:t>
      </w:r>
    </w:p>
    <w:p w14:paraId="5A74F9C5">
      <w:pPr>
        <w:spacing w:line="480" w:lineRule="auto"/>
        <w:ind w:left="11" w:hanging="10"/>
        <w:jc w:val="left"/>
        <w:rPr>
          <w:rFonts w:ascii="宋体" w:hAnsi="宋体"/>
          <w:b/>
          <w:bCs/>
        </w:rPr>
      </w:pPr>
      <w:r>
        <w:rPr>
          <w:rFonts w:hint="eastAsia" w:ascii="宋体" w:hAnsi="宋体"/>
          <w:b/>
          <w:bCs/>
        </w:rPr>
        <w:t>分管领导：     项目经理：</w:t>
      </w:r>
    </w:p>
    <w:p w14:paraId="549EDD2C">
      <w:pPr>
        <w:widowControl/>
        <w:autoSpaceDE w:val="0"/>
        <w:autoSpaceDN w:val="0"/>
        <w:spacing w:line="480" w:lineRule="auto"/>
        <w:ind w:left="11" w:hanging="10"/>
        <w:jc w:val="left"/>
        <w:textAlignment w:val="bottom"/>
        <w:rPr>
          <w:b/>
          <w:bCs/>
          <w:u w:val="single"/>
        </w:rPr>
      </w:pPr>
      <w:bookmarkStart w:id="37" w:name="OLE_LINK3"/>
      <w:bookmarkStart w:id="38" w:name="OLE_LINK4"/>
      <w:r>
        <w:rPr>
          <w:rFonts w:hint="eastAsia" w:ascii="宋体" w:hAnsi="宋体"/>
          <w:b/>
          <w:bCs/>
        </w:rPr>
        <w:t>采购部门负责人：</w:t>
      </w:r>
      <w:bookmarkEnd w:id="37"/>
      <w:bookmarkEnd w:id="38"/>
      <w:r>
        <w:rPr>
          <w:rFonts w:hint="eastAsia"/>
          <w:b/>
          <w:bCs/>
        </w:rPr>
        <w:t>开户行：</w:t>
      </w:r>
    </w:p>
    <w:p w14:paraId="6D97BC52">
      <w:pPr>
        <w:spacing w:line="480" w:lineRule="auto"/>
        <w:ind w:left="11" w:hanging="10"/>
        <w:jc w:val="left"/>
        <w:rPr>
          <w:rFonts w:ascii="宋体" w:hAnsi="宋体" w:cs="宋体"/>
        </w:rPr>
      </w:pPr>
      <w:r>
        <w:rPr>
          <w:rFonts w:hint="eastAsia"/>
          <w:b/>
          <w:bCs/>
        </w:rPr>
        <w:t>日 期：</w:t>
      </w:r>
      <w:r>
        <w:rPr>
          <w:rFonts w:hint="eastAsia" w:ascii="宋体" w:hAnsi="宋体"/>
          <w:b/>
          <w:bCs/>
        </w:rPr>
        <w:t>日期：</w:t>
      </w:r>
    </w:p>
    <w:p w14:paraId="71207FBC">
      <w:pPr>
        <w:tabs>
          <w:tab w:val="left" w:pos="1230"/>
          <w:tab w:val="left" w:pos="5151"/>
          <w:tab w:val="left" w:pos="5871"/>
        </w:tabs>
        <w:autoSpaceDE w:val="0"/>
        <w:autoSpaceDN w:val="0"/>
        <w:rPr>
          <w:rFonts w:ascii="宋体" w:hAnsi="宋体" w:cs="宋体"/>
          <w:color w:val="000000"/>
          <w:kern w:val="0"/>
          <w:lang w:bidi="zh-CN"/>
        </w:rPr>
      </w:pPr>
      <w:r>
        <w:rPr>
          <w:b/>
          <w:bCs/>
        </w:rPr>
        <w:br w:type="page"/>
      </w:r>
      <w:r>
        <w:rPr>
          <w:rFonts w:hint="eastAsia" w:ascii="宋体" w:hAnsi="宋体" w:cs="宋体"/>
          <w:b/>
          <w:bCs/>
          <w:color w:val="000000"/>
          <w:kern w:val="0"/>
          <w:sz w:val="24"/>
          <w:szCs w:val="24"/>
          <w:lang w:bidi="zh-CN"/>
        </w:rPr>
        <w:t>附件1：《配置清单》</w:t>
      </w:r>
    </w:p>
    <w:p w14:paraId="06D14982">
      <w:pPr>
        <w:jc w:val="center"/>
        <w:rPr>
          <w:b/>
          <w:bCs/>
          <w:sz w:val="44"/>
          <w:szCs w:val="44"/>
        </w:rPr>
      </w:pPr>
      <w:r>
        <w:rPr>
          <w:b/>
          <w:bCs/>
          <w:sz w:val="44"/>
          <w:szCs w:val="44"/>
        </w:rPr>
        <w:t>配置清单</w:t>
      </w:r>
    </w:p>
    <w:tbl>
      <w:tblPr>
        <w:tblStyle w:val="46"/>
        <w:tblpPr w:leftFromText="180" w:rightFromText="180" w:vertAnchor="text" w:horzAnchor="margin" w:tblpY="557"/>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709"/>
        <w:gridCol w:w="851"/>
        <w:gridCol w:w="2551"/>
        <w:gridCol w:w="1276"/>
      </w:tblGrid>
      <w:tr w14:paraId="46D2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5FDBD98">
            <w:pPr>
              <w:adjustRightInd w:val="0"/>
              <w:snapToGrid w:val="0"/>
              <w:spacing w:line="560" w:lineRule="exact"/>
              <w:jc w:val="center"/>
              <w:rPr>
                <w:kern w:val="0"/>
              </w:rPr>
            </w:pPr>
            <w:r>
              <w:rPr>
                <w:rFonts w:hint="eastAsia"/>
                <w:kern w:val="0"/>
              </w:rPr>
              <w:t>序号</w:t>
            </w:r>
          </w:p>
        </w:tc>
        <w:tc>
          <w:tcPr>
            <w:tcW w:w="1984" w:type="dxa"/>
            <w:vAlign w:val="center"/>
          </w:tcPr>
          <w:p w14:paraId="125F40FF">
            <w:pPr>
              <w:adjustRightInd w:val="0"/>
              <w:snapToGrid w:val="0"/>
              <w:spacing w:line="560" w:lineRule="exact"/>
              <w:jc w:val="center"/>
              <w:rPr>
                <w:kern w:val="0"/>
              </w:rPr>
            </w:pPr>
            <w:r>
              <w:rPr>
                <w:rFonts w:hint="eastAsia"/>
                <w:kern w:val="0"/>
              </w:rPr>
              <w:t>标的名称</w:t>
            </w:r>
          </w:p>
        </w:tc>
        <w:tc>
          <w:tcPr>
            <w:tcW w:w="709" w:type="dxa"/>
            <w:vAlign w:val="center"/>
          </w:tcPr>
          <w:p w14:paraId="6B4D22C4">
            <w:pPr>
              <w:adjustRightInd w:val="0"/>
              <w:snapToGrid w:val="0"/>
              <w:spacing w:line="560" w:lineRule="exact"/>
              <w:jc w:val="center"/>
              <w:rPr>
                <w:kern w:val="0"/>
              </w:rPr>
            </w:pPr>
            <w:r>
              <w:rPr>
                <w:rFonts w:hint="eastAsia"/>
                <w:kern w:val="0"/>
              </w:rPr>
              <w:t>数量</w:t>
            </w:r>
          </w:p>
        </w:tc>
        <w:tc>
          <w:tcPr>
            <w:tcW w:w="851" w:type="dxa"/>
            <w:vAlign w:val="center"/>
          </w:tcPr>
          <w:p w14:paraId="093BB8E2">
            <w:pPr>
              <w:adjustRightInd w:val="0"/>
              <w:snapToGrid w:val="0"/>
              <w:spacing w:line="560" w:lineRule="exact"/>
              <w:jc w:val="center"/>
              <w:rPr>
                <w:kern w:val="0"/>
              </w:rPr>
            </w:pPr>
            <w:r>
              <w:rPr>
                <w:rFonts w:hint="eastAsia"/>
                <w:kern w:val="0"/>
              </w:rPr>
              <w:t>单位</w:t>
            </w:r>
          </w:p>
        </w:tc>
        <w:tc>
          <w:tcPr>
            <w:tcW w:w="2551" w:type="dxa"/>
            <w:vAlign w:val="center"/>
          </w:tcPr>
          <w:p w14:paraId="53307D5C">
            <w:pPr>
              <w:adjustRightInd w:val="0"/>
              <w:snapToGrid w:val="0"/>
              <w:spacing w:line="560" w:lineRule="exact"/>
              <w:ind w:firstLine="210" w:firstLineChars="100"/>
              <w:jc w:val="center"/>
              <w:rPr>
                <w:kern w:val="0"/>
              </w:rPr>
            </w:pPr>
            <w:r>
              <w:rPr>
                <w:rFonts w:hint="eastAsia"/>
                <w:kern w:val="0"/>
              </w:rPr>
              <w:t>采购标的所属行业</w:t>
            </w:r>
          </w:p>
        </w:tc>
        <w:tc>
          <w:tcPr>
            <w:tcW w:w="1276" w:type="dxa"/>
            <w:vAlign w:val="center"/>
          </w:tcPr>
          <w:p w14:paraId="0646024D">
            <w:pPr>
              <w:adjustRightInd w:val="0"/>
              <w:snapToGrid w:val="0"/>
              <w:spacing w:line="560" w:lineRule="exact"/>
              <w:jc w:val="center"/>
              <w:rPr>
                <w:kern w:val="0"/>
              </w:rPr>
            </w:pPr>
            <w:r>
              <w:rPr>
                <w:rFonts w:hint="eastAsia"/>
                <w:kern w:val="0"/>
              </w:rPr>
              <w:t>属性</w:t>
            </w:r>
          </w:p>
        </w:tc>
      </w:tr>
      <w:tr w14:paraId="20BF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449A106">
            <w:pPr>
              <w:adjustRightInd w:val="0"/>
              <w:snapToGrid w:val="0"/>
              <w:spacing w:line="560" w:lineRule="exact"/>
              <w:jc w:val="center"/>
              <w:rPr>
                <w:kern w:val="0"/>
              </w:rPr>
            </w:pPr>
          </w:p>
        </w:tc>
        <w:tc>
          <w:tcPr>
            <w:tcW w:w="1984" w:type="dxa"/>
            <w:vAlign w:val="center"/>
          </w:tcPr>
          <w:p w14:paraId="37B325F1">
            <w:pPr>
              <w:adjustRightInd w:val="0"/>
              <w:snapToGrid w:val="0"/>
              <w:spacing w:line="560" w:lineRule="exact"/>
              <w:jc w:val="center"/>
              <w:rPr>
                <w:kern w:val="0"/>
              </w:rPr>
            </w:pPr>
            <w:r>
              <w:rPr>
                <w:rFonts w:hint="eastAsia"/>
                <w:kern w:val="0"/>
              </w:rPr>
              <w:t>见招标文件</w:t>
            </w:r>
          </w:p>
        </w:tc>
        <w:tc>
          <w:tcPr>
            <w:tcW w:w="709" w:type="dxa"/>
            <w:vMerge w:val="restart"/>
            <w:vAlign w:val="center"/>
          </w:tcPr>
          <w:p w14:paraId="6EC36251">
            <w:pPr>
              <w:adjustRightInd w:val="0"/>
              <w:snapToGrid w:val="0"/>
              <w:spacing w:line="560" w:lineRule="exact"/>
              <w:jc w:val="center"/>
              <w:rPr>
                <w:kern w:val="0"/>
              </w:rPr>
            </w:pPr>
          </w:p>
        </w:tc>
        <w:tc>
          <w:tcPr>
            <w:tcW w:w="851" w:type="dxa"/>
            <w:vMerge w:val="restart"/>
            <w:vAlign w:val="center"/>
          </w:tcPr>
          <w:p w14:paraId="589FC079">
            <w:pPr>
              <w:adjustRightInd w:val="0"/>
              <w:snapToGrid w:val="0"/>
              <w:spacing w:line="560" w:lineRule="exact"/>
              <w:jc w:val="center"/>
              <w:rPr>
                <w:kern w:val="0"/>
              </w:rPr>
            </w:pPr>
          </w:p>
        </w:tc>
        <w:tc>
          <w:tcPr>
            <w:tcW w:w="2551" w:type="dxa"/>
            <w:vAlign w:val="center"/>
          </w:tcPr>
          <w:p w14:paraId="03A7D653">
            <w:pPr>
              <w:adjustRightInd w:val="0"/>
              <w:snapToGrid w:val="0"/>
              <w:spacing w:line="560" w:lineRule="exact"/>
              <w:jc w:val="center"/>
              <w:rPr>
                <w:kern w:val="0"/>
              </w:rPr>
            </w:pPr>
          </w:p>
        </w:tc>
        <w:tc>
          <w:tcPr>
            <w:tcW w:w="1276" w:type="dxa"/>
            <w:vAlign w:val="center"/>
          </w:tcPr>
          <w:p w14:paraId="58D5E500">
            <w:pPr>
              <w:adjustRightInd w:val="0"/>
              <w:snapToGrid w:val="0"/>
              <w:spacing w:line="560" w:lineRule="exact"/>
              <w:jc w:val="center"/>
              <w:rPr>
                <w:kern w:val="0"/>
              </w:rPr>
            </w:pPr>
          </w:p>
        </w:tc>
      </w:tr>
      <w:tr w14:paraId="6981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5BD62E5D">
            <w:pPr>
              <w:adjustRightInd w:val="0"/>
              <w:snapToGrid w:val="0"/>
              <w:spacing w:line="560" w:lineRule="exact"/>
              <w:jc w:val="center"/>
              <w:rPr>
                <w:kern w:val="0"/>
              </w:rPr>
            </w:pPr>
          </w:p>
        </w:tc>
        <w:tc>
          <w:tcPr>
            <w:tcW w:w="1984" w:type="dxa"/>
            <w:vAlign w:val="center"/>
          </w:tcPr>
          <w:p w14:paraId="42BD84DF">
            <w:pPr>
              <w:adjustRightInd w:val="0"/>
              <w:snapToGrid w:val="0"/>
              <w:spacing w:line="560" w:lineRule="exact"/>
              <w:jc w:val="center"/>
              <w:rPr>
                <w:kern w:val="0"/>
              </w:rPr>
            </w:pPr>
          </w:p>
        </w:tc>
        <w:tc>
          <w:tcPr>
            <w:tcW w:w="709" w:type="dxa"/>
            <w:vMerge w:val="continue"/>
            <w:vAlign w:val="center"/>
          </w:tcPr>
          <w:p w14:paraId="7B9F25BE">
            <w:pPr>
              <w:adjustRightInd w:val="0"/>
              <w:snapToGrid w:val="0"/>
              <w:spacing w:line="560" w:lineRule="exact"/>
              <w:jc w:val="center"/>
              <w:rPr>
                <w:kern w:val="0"/>
              </w:rPr>
            </w:pPr>
          </w:p>
        </w:tc>
        <w:tc>
          <w:tcPr>
            <w:tcW w:w="851" w:type="dxa"/>
            <w:vMerge w:val="continue"/>
            <w:vAlign w:val="center"/>
          </w:tcPr>
          <w:p w14:paraId="2377D5D9">
            <w:pPr>
              <w:adjustRightInd w:val="0"/>
              <w:snapToGrid w:val="0"/>
              <w:spacing w:line="560" w:lineRule="exact"/>
              <w:jc w:val="center"/>
              <w:rPr>
                <w:kern w:val="0"/>
              </w:rPr>
            </w:pPr>
          </w:p>
        </w:tc>
        <w:tc>
          <w:tcPr>
            <w:tcW w:w="2551" w:type="dxa"/>
            <w:vAlign w:val="center"/>
          </w:tcPr>
          <w:p w14:paraId="4753A7FE">
            <w:pPr>
              <w:adjustRightInd w:val="0"/>
              <w:snapToGrid w:val="0"/>
              <w:spacing w:line="560" w:lineRule="exact"/>
              <w:jc w:val="center"/>
              <w:rPr>
                <w:kern w:val="0"/>
              </w:rPr>
            </w:pPr>
          </w:p>
        </w:tc>
        <w:tc>
          <w:tcPr>
            <w:tcW w:w="1276" w:type="dxa"/>
            <w:vAlign w:val="center"/>
          </w:tcPr>
          <w:p w14:paraId="6F60A405">
            <w:pPr>
              <w:adjustRightInd w:val="0"/>
              <w:snapToGrid w:val="0"/>
              <w:spacing w:line="560" w:lineRule="exact"/>
              <w:jc w:val="center"/>
              <w:rPr>
                <w:kern w:val="0"/>
              </w:rPr>
            </w:pPr>
          </w:p>
        </w:tc>
      </w:tr>
      <w:tr w14:paraId="3CF9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211F59F6">
            <w:pPr>
              <w:adjustRightInd w:val="0"/>
              <w:snapToGrid w:val="0"/>
              <w:spacing w:line="560" w:lineRule="exact"/>
              <w:jc w:val="center"/>
              <w:rPr>
                <w:kern w:val="0"/>
              </w:rPr>
            </w:pPr>
          </w:p>
        </w:tc>
        <w:tc>
          <w:tcPr>
            <w:tcW w:w="1984" w:type="dxa"/>
            <w:vAlign w:val="center"/>
          </w:tcPr>
          <w:p w14:paraId="4ACB0563">
            <w:pPr>
              <w:adjustRightInd w:val="0"/>
              <w:snapToGrid w:val="0"/>
              <w:spacing w:line="560" w:lineRule="exact"/>
              <w:jc w:val="center"/>
              <w:rPr>
                <w:kern w:val="0"/>
              </w:rPr>
            </w:pPr>
          </w:p>
        </w:tc>
        <w:tc>
          <w:tcPr>
            <w:tcW w:w="709" w:type="dxa"/>
            <w:vMerge w:val="continue"/>
            <w:vAlign w:val="center"/>
          </w:tcPr>
          <w:p w14:paraId="699A8AB1">
            <w:pPr>
              <w:adjustRightInd w:val="0"/>
              <w:snapToGrid w:val="0"/>
              <w:spacing w:line="560" w:lineRule="exact"/>
              <w:jc w:val="center"/>
              <w:rPr>
                <w:kern w:val="0"/>
              </w:rPr>
            </w:pPr>
          </w:p>
        </w:tc>
        <w:tc>
          <w:tcPr>
            <w:tcW w:w="851" w:type="dxa"/>
            <w:vMerge w:val="continue"/>
            <w:vAlign w:val="center"/>
          </w:tcPr>
          <w:p w14:paraId="68C79F6F">
            <w:pPr>
              <w:adjustRightInd w:val="0"/>
              <w:snapToGrid w:val="0"/>
              <w:spacing w:line="560" w:lineRule="exact"/>
              <w:jc w:val="center"/>
              <w:rPr>
                <w:kern w:val="0"/>
              </w:rPr>
            </w:pPr>
          </w:p>
        </w:tc>
        <w:tc>
          <w:tcPr>
            <w:tcW w:w="2551" w:type="dxa"/>
            <w:vAlign w:val="center"/>
          </w:tcPr>
          <w:p w14:paraId="4D3C5E2F">
            <w:pPr>
              <w:adjustRightInd w:val="0"/>
              <w:snapToGrid w:val="0"/>
              <w:spacing w:line="560" w:lineRule="exact"/>
              <w:jc w:val="center"/>
              <w:rPr>
                <w:kern w:val="0"/>
              </w:rPr>
            </w:pPr>
          </w:p>
        </w:tc>
        <w:tc>
          <w:tcPr>
            <w:tcW w:w="1276" w:type="dxa"/>
            <w:vAlign w:val="center"/>
          </w:tcPr>
          <w:p w14:paraId="1FF60A64">
            <w:pPr>
              <w:adjustRightInd w:val="0"/>
              <w:snapToGrid w:val="0"/>
              <w:spacing w:line="560" w:lineRule="exact"/>
              <w:jc w:val="center"/>
              <w:rPr>
                <w:kern w:val="0"/>
              </w:rPr>
            </w:pPr>
          </w:p>
        </w:tc>
      </w:tr>
      <w:tr w14:paraId="17D2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46BAFB5E">
            <w:pPr>
              <w:adjustRightInd w:val="0"/>
              <w:snapToGrid w:val="0"/>
              <w:spacing w:line="560" w:lineRule="exact"/>
              <w:jc w:val="center"/>
              <w:rPr>
                <w:kern w:val="0"/>
              </w:rPr>
            </w:pPr>
          </w:p>
        </w:tc>
        <w:tc>
          <w:tcPr>
            <w:tcW w:w="1984" w:type="dxa"/>
            <w:vAlign w:val="center"/>
          </w:tcPr>
          <w:p w14:paraId="0E4A10C1">
            <w:pPr>
              <w:adjustRightInd w:val="0"/>
              <w:snapToGrid w:val="0"/>
              <w:spacing w:line="560" w:lineRule="exact"/>
              <w:jc w:val="center"/>
              <w:rPr>
                <w:kern w:val="0"/>
              </w:rPr>
            </w:pPr>
          </w:p>
        </w:tc>
        <w:tc>
          <w:tcPr>
            <w:tcW w:w="709" w:type="dxa"/>
            <w:vMerge w:val="continue"/>
            <w:vAlign w:val="center"/>
          </w:tcPr>
          <w:p w14:paraId="4A717A27">
            <w:pPr>
              <w:adjustRightInd w:val="0"/>
              <w:snapToGrid w:val="0"/>
              <w:spacing w:line="560" w:lineRule="exact"/>
              <w:jc w:val="center"/>
              <w:rPr>
                <w:kern w:val="0"/>
              </w:rPr>
            </w:pPr>
          </w:p>
        </w:tc>
        <w:tc>
          <w:tcPr>
            <w:tcW w:w="851" w:type="dxa"/>
            <w:vMerge w:val="continue"/>
            <w:vAlign w:val="center"/>
          </w:tcPr>
          <w:p w14:paraId="7E68134A">
            <w:pPr>
              <w:adjustRightInd w:val="0"/>
              <w:snapToGrid w:val="0"/>
              <w:spacing w:line="560" w:lineRule="exact"/>
              <w:jc w:val="center"/>
              <w:rPr>
                <w:kern w:val="0"/>
              </w:rPr>
            </w:pPr>
          </w:p>
        </w:tc>
        <w:tc>
          <w:tcPr>
            <w:tcW w:w="2551" w:type="dxa"/>
            <w:vAlign w:val="center"/>
          </w:tcPr>
          <w:p w14:paraId="79B8F803">
            <w:pPr>
              <w:adjustRightInd w:val="0"/>
              <w:snapToGrid w:val="0"/>
              <w:spacing w:line="560" w:lineRule="exact"/>
              <w:jc w:val="center"/>
              <w:rPr>
                <w:kern w:val="0"/>
              </w:rPr>
            </w:pPr>
          </w:p>
        </w:tc>
        <w:tc>
          <w:tcPr>
            <w:tcW w:w="1276" w:type="dxa"/>
            <w:vAlign w:val="center"/>
          </w:tcPr>
          <w:p w14:paraId="480F8E4A">
            <w:pPr>
              <w:adjustRightInd w:val="0"/>
              <w:snapToGrid w:val="0"/>
              <w:spacing w:line="560" w:lineRule="exact"/>
              <w:jc w:val="center"/>
              <w:rPr>
                <w:kern w:val="0"/>
              </w:rPr>
            </w:pPr>
          </w:p>
        </w:tc>
      </w:tr>
      <w:tr w14:paraId="6D83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2D7B543">
            <w:pPr>
              <w:adjustRightInd w:val="0"/>
              <w:snapToGrid w:val="0"/>
              <w:spacing w:line="560" w:lineRule="exact"/>
              <w:jc w:val="center"/>
              <w:rPr>
                <w:kern w:val="0"/>
              </w:rPr>
            </w:pPr>
          </w:p>
        </w:tc>
        <w:tc>
          <w:tcPr>
            <w:tcW w:w="1984" w:type="dxa"/>
            <w:vAlign w:val="center"/>
          </w:tcPr>
          <w:p w14:paraId="28517E11">
            <w:pPr>
              <w:adjustRightInd w:val="0"/>
              <w:snapToGrid w:val="0"/>
              <w:spacing w:line="560" w:lineRule="exact"/>
              <w:jc w:val="center"/>
              <w:rPr>
                <w:kern w:val="0"/>
              </w:rPr>
            </w:pPr>
          </w:p>
        </w:tc>
        <w:tc>
          <w:tcPr>
            <w:tcW w:w="709" w:type="dxa"/>
            <w:vMerge w:val="continue"/>
            <w:vAlign w:val="center"/>
          </w:tcPr>
          <w:p w14:paraId="595E2AE4">
            <w:pPr>
              <w:adjustRightInd w:val="0"/>
              <w:snapToGrid w:val="0"/>
              <w:spacing w:line="560" w:lineRule="exact"/>
              <w:jc w:val="center"/>
              <w:rPr>
                <w:kern w:val="0"/>
              </w:rPr>
            </w:pPr>
          </w:p>
        </w:tc>
        <w:tc>
          <w:tcPr>
            <w:tcW w:w="851" w:type="dxa"/>
            <w:vMerge w:val="continue"/>
            <w:vAlign w:val="center"/>
          </w:tcPr>
          <w:p w14:paraId="0CA06012">
            <w:pPr>
              <w:adjustRightInd w:val="0"/>
              <w:snapToGrid w:val="0"/>
              <w:spacing w:line="560" w:lineRule="exact"/>
              <w:jc w:val="center"/>
              <w:rPr>
                <w:kern w:val="0"/>
              </w:rPr>
            </w:pPr>
          </w:p>
        </w:tc>
        <w:tc>
          <w:tcPr>
            <w:tcW w:w="2551" w:type="dxa"/>
            <w:vAlign w:val="center"/>
          </w:tcPr>
          <w:p w14:paraId="7F9253F3">
            <w:pPr>
              <w:adjustRightInd w:val="0"/>
              <w:snapToGrid w:val="0"/>
              <w:spacing w:line="560" w:lineRule="exact"/>
              <w:jc w:val="center"/>
              <w:rPr>
                <w:kern w:val="0"/>
              </w:rPr>
            </w:pPr>
          </w:p>
        </w:tc>
        <w:tc>
          <w:tcPr>
            <w:tcW w:w="1276" w:type="dxa"/>
            <w:vAlign w:val="center"/>
          </w:tcPr>
          <w:p w14:paraId="2BAB8112">
            <w:pPr>
              <w:adjustRightInd w:val="0"/>
              <w:snapToGrid w:val="0"/>
              <w:spacing w:line="560" w:lineRule="exact"/>
              <w:jc w:val="center"/>
              <w:rPr>
                <w:kern w:val="0"/>
              </w:rPr>
            </w:pPr>
          </w:p>
        </w:tc>
      </w:tr>
      <w:tr w14:paraId="59C7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579FF64">
            <w:pPr>
              <w:adjustRightInd w:val="0"/>
              <w:snapToGrid w:val="0"/>
              <w:spacing w:line="560" w:lineRule="exact"/>
              <w:jc w:val="center"/>
              <w:rPr>
                <w:kern w:val="0"/>
              </w:rPr>
            </w:pPr>
          </w:p>
        </w:tc>
        <w:tc>
          <w:tcPr>
            <w:tcW w:w="1984" w:type="dxa"/>
            <w:vAlign w:val="center"/>
          </w:tcPr>
          <w:p w14:paraId="14478EC0">
            <w:pPr>
              <w:adjustRightInd w:val="0"/>
              <w:snapToGrid w:val="0"/>
              <w:spacing w:line="560" w:lineRule="exact"/>
              <w:jc w:val="center"/>
              <w:rPr>
                <w:color w:val="111111"/>
                <w:kern w:val="0"/>
              </w:rPr>
            </w:pPr>
          </w:p>
        </w:tc>
        <w:tc>
          <w:tcPr>
            <w:tcW w:w="709" w:type="dxa"/>
            <w:vMerge w:val="continue"/>
            <w:vAlign w:val="center"/>
          </w:tcPr>
          <w:p w14:paraId="183C130D">
            <w:pPr>
              <w:adjustRightInd w:val="0"/>
              <w:snapToGrid w:val="0"/>
              <w:spacing w:line="560" w:lineRule="exact"/>
              <w:jc w:val="center"/>
              <w:rPr>
                <w:kern w:val="0"/>
              </w:rPr>
            </w:pPr>
          </w:p>
        </w:tc>
        <w:tc>
          <w:tcPr>
            <w:tcW w:w="851" w:type="dxa"/>
            <w:vMerge w:val="continue"/>
            <w:vAlign w:val="center"/>
          </w:tcPr>
          <w:p w14:paraId="53B38F25">
            <w:pPr>
              <w:adjustRightInd w:val="0"/>
              <w:snapToGrid w:val="0"/>
              <w:spacing w:line="560" w:lineRule="exact"/>
              <w:jc w:val="center"/>
              <w:rPr>
                <w:kern w:val="0"/>
              </w:rPr>
            </w:pPr>
          </w:p>
        </w:tc>
        <w:tc>
          <w:tcPr>
            <w:tcW w:w="2551" w:type="dxa"/>
            <w:vAlign w:val="center"/>
          </w:tcPr>
          <w:p w14:paraId="2A876BD7">
            <w:pPr>
              <w:adjustRightInd w:val="0"/>
              <w:snapToGrid w:val="0"/>
              <w:spacing w:line="560" w:lineRule="exact"/>
              <w:jc w:val="center"/>
              <w:rPr>
                <w:kern w:val="0"/>
              </w:rPr>
            </w:pPr>
          </w:p>
        </w:tc>
        <w:tc>
          <w:tcPr>
            <w:tcW w:w="1276" w:type="dxa"/>
            <w:vAlign w:val="center"/>
          </w:tcPr>
          <w:p w14:paraId="2840D213">
            <w:pPr>
              <w:adjustRightInd w:val="0"/>
              <w:snapToGrid w:val="0"/>
              <w:spacing w:line="560" w:lineRule="exact"/>
              <w:jc w:val="center"/>
              <w:rPr>
                <w:kern w:val="0"/>
              </w:rPr>
            </w:pPr>
          </w:p>
        </w:tc>
      </w:tr>
      <w:tr w14:paraId="6A1A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7EFF9ED">
            <w:pPr>
              <w:adjustRightInd w:val="0"/>
              <w:snapToGrid w:val="0"/>
              <w:spacing w:line="560" w:lineRule="exact"/>
              <w:jc w:val="center"/>
              <w:rPr>
                <w:kern w:val="0"/>
              </w:rPr>
            </w:pPr>
          </w:p>
        </w:tc>
        <w:tc>
          <w:tcPr>
            <w:tcW w:w="1984" w:type="dxa"/>
            <w:vAlign w:val="center"/>
          </w:tcPr>
          <w:p w14:paraId="7C53ECC9">
            <w:pPr>
              <w:adjustRightInd w:val="0"/>
              <w:snapToGrid w:val="0"/>
              <w:spacing w:line="560" w:lineRule="exact"/>
              <w:jc w:val="center"/>
              <w:rPr>
                <w:color w:val="111111"/>
                <w:kern w:val="0"/>
              </w:rPr>
            </w:pPr>
          </w:p>
        </w:tc>
        <w:tc>
          <w:tcPr>
            <w:tcW w:w="709" w:type="dxa"/>
            <w:vMerge w:val="continue"/>
            <w:vAlign w:val="center"/>
          </w:tcPr>
          <w:p w14:paraId="3AAFC63E">
            <w:pPr>
              <w:adjustRightInd w:val="0"/>
              <w:snapToGrid w:val="0"/>
              <w:spacing w:line="560" w:lineRule="exact"/>
              <w:jc w:val="center"/>
              <w:rPr>
                <w:kern w:val="0"/>
              </w:rPr>
            </w:pPr>
          </w:p>
        </w:tc>
        <w:tc>
          <w:tcPr>
            <w:tcW w:w="851" w:type="dxa"/>
            <w:vMerge w:val="continue"/>
            <w:vAlign w:val="center"/>
          </w:tcPr>
          <w:p w14:paraId="04550FAB">
            <w:pPr>
              <w:adjustRightInd w:val="0"/>
              <w:snapToGrid w:val="0"/>
              <w:spacing w:line="560" w:lineRule="exact"/>
              <w:jc w:val="center"/>
              <w:rPr>
                <w:kern w:val="0"/>
              </w:rPr>
            </w:pPr>
          </w:p>
        </w:tc>
        <w:tc>
          <w:tcPr>
            <w:tcW w:w="2551" w:type="dxa"/>
            <w:vAlign w:val="center"/>
          </w:tcPr>
          <w:p w14:paraId="4E46D01D">
            <w:pPr>
              <w:adjustRightInd w:val="0"/>
              <w:snapToGrid w:val="0"/>
              <w:spacing w:line="560" w:lineRule="exact"/>
              <w:jc w:val="center"/>
              <w:rPr>
                <w:kern w:val="0"/>
              </w:rPr>
            </w:pPr>
          </w:p>
        </w:tc>
        <w:tc>
          <w:tcPr>
            <w:tcW w:w="1276" w:type="dxa"/>
            <w:vAlign w:val="center"/>
          </w:tcPr>
          <w:p w14:paraId="0DAABCD5">
            <w:pPr>
              <w:adjustRightInd w:val="0"/>
              <w:snapToGrid w:val="0"/>
              <w:spacing w:line="560" w:lineRule="exact"/>
              <w:jc w:val="center"/>
              <w:rPr>
                <w:kern w:val="0"/>
              </w:rPr>
            </w:pPr>
          </w:p>
        </w:tc>
      </w:tr>
    </w:tbl>
    <w:p w14:paraId="27AD6E57">
      <w:pPr>
        <w:ind w:left="1260" w:leftChars="600"/>
      </w:pPr>
    </w:p>
    <w:p w14:paraId="436ED878"/>
    <w:p w14:paraId="0E735DC5">
      <w:pPr>
        <w:ind w:left="1260" w:leftChars="600"/>
      </w:pPr>
    </w:p>
    <w:p w14:paraId="7AE110CD">
      <w:pPr>
        <w:pStyle w:val="9"/>
        <w:ind w:left="1260"/>
      </w:pPr>
    </w:p>
    <w:p w14:paraId="274E7831"/>
    <w:p w14:paraId="0865C30D">
      <w:pPr>
        <w:pStyle w:val="9"/>
        <w:ind w:left="1260"/>
      </w:pPr>
    </w:p>
    <w:p w14:paraId="42F875A1"/>
    <w:p w14:paraId="50C58C43">
      <w:pPr>
        <w:pStyle w:val="9"/>
        <w:ind w:left="1260"/>
      </w:pPr>
    </w:p>
    <w:p w14:paraId="45A2B9F6"/>
    <w:p w14:paraId="0EC4E11F">
      <w:pPr>
        <w:pStyle w:val="9"/>
        <w:ind w:left="1260"/>
      </w:pPr>
    </w:p>
    <w:p w14:paraId="31FD1211"/>
    <w:p w14:paraId="54AAEBAB">
      <w:pPr>
        <w:widowControl/>
        <w:spacing w:line="360" w:lineRule="auto"/>
        <w:ind w:firstLine="482"/>
      </w:pPr>
      <w:r>
        <w:rPr>
          <w:rFonts w:hint="eastAsia"/>
        </w:rPr>
        <w:t>甲方：南京市疾病预防控制中心          乙方：</w:t>
      </w:r>
    </w:p>
    <w:p w14:paraId="3C1FE2A0">
      <w:pPr>
        <w:widowControl/>
        <w:spacing w:line="360" w:lineRule="auto"/>
        <w:ind w:firstLine="482"/>
      </w:pPr>
    </w:p>
    <w:p w14:paraId="2E45F65B">
      <w:pPr>
        <w:widowControl/>
        <w:spacing w:line="360" w:lineRule="auto"/>
        <w:ind w:firstLine="482"/>
      </w:pPr>
      <w:r>
        <w:rPr>
          <w:rFonts w:hint="eastAsia"/>
        </w:rPr>
        <w:t>代表：                                项目经理：</w:t>
      </w:r>
    </w:p>
    <w:p w14:paraId="4D08DFEB">
      <w:pPr>
        <w:widowControl/>
        <w:spacing w:line="360" w:lineRule="auto"/>
        <w:ind w:firstLine="482"/>
      </w:pPr>
    </w:p>
    <w:p w14:paraId="6883128F">
      <w:pPr>
        <w:widowControl/>
        <w:spacing w:line="360" w:lineRule="auto"/>
        <w:ind w:firstLine="482"/>
      </w:pPr>
      <w:r>
        <w:rPr>
          <w:rFonts w:hint="eastAsia"/>
        </w:rPr>
        <w:t>20    年    月   日</w:t>
      </w:r>
      <w:r>
        <w:br w:type="page"/>
      </w:r>
    </w:p>
    <w:p w14:paraId="076BF023">
      <w:pPr>
        <w:tabs>
          <w:tab w:val="left" w:pos="1230"/>
          <w:tab w:val="left" w:pos="5151"/>
          <w:tab w:val="left" w:pos="5871"/>
        </w:tabs>
        <w:autoSpaceDE w:val="0"/>
        <w:autoSpaceDN w:val="0"/>
        <w:rPr>
          <w:rFonts w:ascii="宋体" w:hAnsi="宋体" w:cs="宋体"/>
          <w:b/>
          <w:bCs/>
          <w:color w:val="000000"/>
          <w:kern w:val="0"/>
          <w:sz w:val="24"/>
          <w:szCs w:val="24"/>
          <w:lang w:bidi="zh-CN"/>
        </w:rPr>
      </w:pPr>
      <w:r>
        <w:rPr>
          <w:rFonts w:hint="eastAsia" w:ascii="宋体" w:hAnsi="宋体" w:cs="宋体"/>
          <w:b/>
          <w:bCs/>
          <w:color w:val="000000"/>
          <w:kern w:val="0"/>
          <w:sz w:val="24"/>
          <w:szCs w:val="24"/>
          <w:lang w:bidi="zh-CN"/>
        </w:rPr>
        <w:t>附件2：《产品功能简介》</w:t>
      </w:r>
    </w:p>
    <w:p w14:paraId="52E82FAD">
      <w:pPr>
        <w:widowControl/>
        <w:spacing w:line="360" w:lineRule="auto"/>
        <w:rPr>
          <w:rFonts w:ascii="宋体" w:hAnsi="宋体" w:cs="宋体"/>
          <w:color w:val="000000"/>
          <w:kern w:val="0"/>
          <w:lang w:bidi="zh-CN"/>
        </w:rPr>
      </w:pPr>
      <w:r>
        <w:rPr>
          <w:rFonts w:hint="eastAsia" w:ascii="宋体" w:hAnsi="宋体" w:cs="宋体"/>
          <w:color w:val="000000"/>
          <w:kern w:val="0"/>
          <w:lang w:bidi="zh-CN"/>
        </w:rPr>
        <w:t>见招标文件</w:t>
      </w:r>
    </w:p>
    <w:p w14:paraId="3079EC32">
      <w:pPr>
        <w:widowControl/>
        <w:spacing w:line="360" w:lineRule="auto"/>
        <w:ind w:firstLine="482"/>
        <w:rPr>
          <w:rFonts w:ascii="宋体" w:hAnsi="宋体" w:cs="宋体"/>
          <w:lang w:val="zh-CN"/>
        </w:rPr>
      </w:pPr>
      <w:r>
        <w:rPr>
          <w:rFonts w:ascii="宋体" w:hAnsi="宋体" w:cs="宋体"/>
          <w:lang w:val="zh-CN"/>
        </w:rPr>
        <w:br w:type="page"/>
      </w:r>
    </w:p>
    <w:p w14:paraId="506706AA">
      <w:pPr>
        <w:adjustRightInd w:val="0"/>
        <w:snapToGrid w:val="0"/>
        <w:rPr>
          <w:rFonts w:ascii="宋体" w:hAnsi="宋体" w:cs="宋体"/>
          <w:b/>
          <w:bCs/>
          <w:sz w:val="24"/>
          <w:szCs w:val="24"/>
          <w:lang w:val="zh-CN"/>
        </w:rPr>
      </w:pPr>
      <w:r>
        <w:rPr>
          <w:rFonts w:hint="eastAsia" w:ascii="宋体" w:hAnsi="宋体" w:cs="宋体"/>
          <w:b/>
          <w:bCs/>
          <w:sz w:val="24"/>
          <w:szCs w:val="24"/>
          <w:lang w:val="zh-CN"/>
        </w:rPr>
        <w:t>附件3：《验收标准》</w:t>
      </w:r>
    </w:p>
    <w:p w14:paraId="1B77930F">
      <w:pPr>
        <w:jc w:val="center"/>
        <w:rPr>
          <w:rFonts w:ascii="宋体" w:hAnsi="宋体" w:cs="宋体"/>
        </w:rPr>
      </w:pPr>
      <w:r>
        <w:rPr>
          <w:b/>
          <w:bCs/>
          <w:sz w:val="44"/>
          <w:szCs w:val="44"/>
        </w:rPr>
        <w:t>验收标准</w:t>
      </w:r>
    </w:p>
    <w:p w14:paraId="55515E1F">
      <w:pPr>
        <w:tabs>
          <w:tab w:val="left" w:pos="2110"/>
        </w:tabs>
        <w:jc w:val="left"/>
        <w:rPr>
          <w:rFonts w:ascii="楷体" w:hAnsi="楷体" w:eastAsia="楷体" w:cs="楷体"/>
        </w:rPr>
      </w:pPr>
      <w:r>
        <w:rPr>
          <w:rFonts w:hint="eastAsia"/>
        </w:rPr>
        <w:tab/>
      </w:r>
    </w:p>
    <w:p w14:paraId="2D94A387">
      <w:pPr>
        <w:ind w:firstLine="422" w:firstLineChars="200"/>
        <w:rPr>
          <w:rFonts w:ascii="宋体" w:hAnsi="宋体" w:cs="宋体"/>
          <w:b/>
          <w:bCs/>
        </w:rPr>
      </w:pPr>
      <w:r>
        <w:rPr>
          <w:rFonts w:hint="eastAsia" w:ascii="宋体" w:hAnsi="宋体" w:cs="宋体"/>
          <w:b/>
          <w:bCs/>
        </w:rPr>
        <w:t>一、验收时间：</w:t>
      </w:r>
    </w:p>
    <w:p w14:paraId="3A524AD5">
      <w:pPr>
        <w:ind w:firstLine="420" w:firstLineChars="200"/>
        <w:rPr>
          <w:rFonts w:ascii="宋体" w:hAnsi="宋体" w:cs="宋体"/>
        </w:rPr>
      </w:pPr>
      <w:r>
        <w:rPr>
          <w:rFonts w:hint="eastAsia" w:ascii="宋体" w:hAnsi="宋体" w:cs="宋体"/>
        </w:rPr>
        <w:t>全部完成安装项目实施并完成甲方操作、维护人员的培训，系统全部符合技术要求，各类设计、施工和竣工图等档案文件完整、准确，落实售后服务措施，且不少于1个月的无故障试运行后，乙方方可申请项目初步验收。</w:t>
      </w:r>
    </w:p>
    <w:p w14:paraId="020DB097">
      <w:pPr>
        <w:pStyle w:val="9"/>
        <w:ind w:left="0" w:leftChars="0" w:firstLine="422" w:firstLineChars="200"/>
        <w:rPr>
          <w:b/>
          <w:bCs/>
        </w:rPr>
      </w:pPr>
      <w:r>
        <w:rPr>
          <w:rFonts w:hint="eastAsia"/>
          <w:b/>
          <w:bCs/>
        </w:rPr>
        <w:t>二、验收依据：</w:t>
      </w:r>
    </w:p>
    <w:p w14:paraId="623C30D9">
      <w:pPr>
        <w:pStyle w:val="9"/>
        <w:ind w:left="0" w:leftChars="0" w:firstLine="420" w:firstLineChars="200"/>
        <w:rPr>
          <w:rFonts w:ascii="宋体" w:hAnsi="宋体" w:cs="宋体"/>
        </w:rPr>
      </w:pPr>
      <w:r>
        <w:rPr>
          <w:rFonts w:hint="eastAsia" w:ascii="宋体" w:hAnsi="宋体" w:cs="宋体"/>
        </w:rPr>
        <w:t>1.有关法律、法规以及相关标准；</w:t>
      </w:r>
    </w:p>
    <w:p w14:paraId="3A2AE42E">
      <w:pPr>
        <w:pStyle w:val="9"/>
        <w:ind w:left="0" w:leftChars="0" w:firstLine="420" w:firstLineChars="200"/>
        <w:rPr>
          <w:rFonts w:ascii="宋体" w:hAnsi="宋体" w:cs="宋体"/>
        </w:rPr>
      </w:pPr>
      <w:r>
        <w:rPr>
          <w:rFonts w:hint="eastAsia" w:ascii="宋体" w:hAnsi="宋体" w:cs="宋体"/>
        </w:rPr>
        <w:t>2.项目招标相关资料；</w:t>
      </w:r>
    </w:p>
    <w:p w14:paraId="1A80800C">
      <w:pPr>
        <w:pStyle w:val="9"/>
        <w:ind w:left="0" w:leftChars="0" w:firstLine="420" w:firstLineChars="200"/>
        <w:rPr>
          <w:rFonts w:ascii="宋体" w:hAnsi="宋体" w:cs="宋体"/>
        </w:rPr>
      </w:pPr>
      <w:r>
        <w:rPr>
          <w:rFonts w:hint="eastAsia" w:ascii="宋体" w:hAnsi="宋体" w:cs="宋体"/>
        </w:rPr>
        <w:t>3.开发单位提交的项目竣工验收申请报告；</w:t>
      </w:r>
    </w:p>
    <w:p w14:paraId="4EBCFCD6">
      <w:pPr>
        <w:pStyle w:val="9"/>
        <w:ind w:left="0" w:leftChars="0" w:firstLine="420" w:firstLineChars="200"/>
        <w:rPr>
          <w:rFonts w:ascii="宋体" w:hAnsi="宋体" w:cs="宋体"/>
        </w:rPr>
      </w:pPr>
      <w:r>
        <w:rPr>
          <w:rFonts w:hint="eastAsia" w:ascii="宋体" w:hAnsi="宋体" w:cs="宋体"/>
        </w:rPr>
        <w:t>4.内部相关部门出具的用户报告；</w:t>
      </w:r>
    </w:p>
    <w:p w14:paraId="433C8B96">
      <w:pPr>
        <w:pStyle w:val="9"/>
        <w:ind w:left="0" w:leftChars="0" w:firstLine="420" w:firstLineChars="200"/>
        <w:rPr>
          <w:rFonts w:ascii="宋体" w:hAnsi="宋体" w:cs="宋体"/>
        </w:rPr>
      </w:pPr>
      <w:r>
        <w:rPr>
          <w:rFonts w:hint="eastAsia" w:ascii="宋体" w:hAnsi="宋体" w:cs="宋体"/>
        </w:rPr>
        <w:t>5.测试单位出具的测试报告；</w:t>
      </w:r>
    </w:p>
    <w:p w14:paraId="04C3DE46">
      <w:pPr>
        <w:pStyle w:val="9"/>
        <w:ind w:left="0" w:leftChars="0" w:firstLine="420" w:firstLineChars="200"/>
        <w:rPr>
          <w:rFonts w:ascii="宋体" w:hAnsi="宋体" w:cs="宋体"/>
        </w:rPr>
      </w:pPr>
      <w:r>
        <w:rPr>
          <w:rFonts w:hint="eastAsia" w:ascii="宋体" w:hAnsi="宋体" w:cs="宋体"/>
        </w:rPr>
        <w:t>6.项目监理单位出具的监理报告；</w:t>
      </w:r>
    </w:p>
    <w:p w14:paraId="6932E2AB">
      <w:pPr>
        <w:pStyle w:val="9"/>
        <w:ind w:left="0" w:leftChars="0" w:firstLine="420" w:firstLineChars="200"/>
        <w:rPr>
          <w:rFonts w:ascii="宋体" w:hAnsi="宋体" w:cs="宋体"/>
        </w:rPr>
      </w:pPr>
      <w:r>
        <w:rPr>
          <w:rFonts w:hint="eastAsia" w:ascii="宋体" w:hAnsi="宋体" w:cs="宋体"/>
        </w:rPr>
        <w:t>7.项目合同或协议；</w:t>
      </w:r>
    </w:p>
    <w:p w14:paraId="602E9FA6">
      <w:pPr>
        <w:pStyle w:val="9"/>
        <w:ind w:left="0" w:leftChars="0" w:firstLine="420" w:firstLineChars="200"/>
        <w:rPr>
          <w:rFonts w:ascii="宋体" w:hAnsi="宋体" w:cs="宋体"/>
        </w:rPr>
      </w:pPr>
      <w:r>
        <w:rPr>
          <w:rFonts w:hint="eastAsia" w:ascii="宋体" w:hAnsi="宋体" w:cs="宋体"/>
        </w:rPr>
        <w:t>8.业务需求说明书；</w:t>
      </w:r>
    </w:p>
    <w:p w14:paraId="77AF81DC">
      <w:pPr>
        <w:pStyle w:val="9"/>
        <w:ind w:left="0" w:leftChars="0" w:firstLine="420" w:firstLineChars="200"/>
        <w:rPr>
          <w:rFonts w:ascii="宋体" w:hAnsi="宋体" w:cs="宋体"/>
        </w:rPr>
      </w:pPr>
      <w:r>
        <w:rPr>
          <w:rFonts w:hint="eastAsia" w:ascii="宋体" w:hAnsi="宋体" w:cs="宋体"/>
        </w:rPr>
        <w:t>9.其他具有法律效力的文件。</w:t>
      </w:r>
    </w:p>
    <w:p w14:paraId="2315DDF8">
      <w:pPr>
        <w:ind w:firstLine="422" w:firstLineChars="200"/>
        <w:rPr>
          <w:rFonts w:ascii="宋体" w:hAnsi="宋体" w:cs="宋体"/>
          <w:b/>
          <w:bCs/>
        </w:rPr>
      </w:pPr>
      <w:r>
        <w:rPr>
          <w:rFonts w:hint="eastAsia" w:ascii="宋体" w:hAnsi="宋体" w:cs="宋体"/>
          <w:b/>
          <w:bCs/>
        </w:rPr>
        <w:t>三、验收内容：</w:t>
      </w:r>
    </w:p>
    <w:p w14:paraId="18F12F1D">
      <w:pPr>
        <w:ind w:firstLine="420" w:firstLineChars="200"/>
        <w:rPr>
          <w:rFonts w:ascii="宋体" w:hAnsi="宋体" w:cs="宋体"/>
        </w:rPr>
      </w:pPr>
      <w:r>
        <w:rPr>
          <w:rFonts w:hint="eastAsia" w:ascii="宋体" w:hAnsi="宋体" w:cs="宋体"/>
        </w:rPr>
        <w:t>1.检查建设情况。主要检查建设内容、建设规模是否按照批准的建设方案、责任书、合同书等有关文件约定建成，项目建设中发生的重大变更是否获得项目批复机构批准。</w:t>
      </w:r>
    </w:p>
    <w:p w14:paraId="77A931F7">
      <w:pPr>
        <w:ind w:firstLine="420" w:firstLineChars="200"/>
        <w:rPr>
          <w:rFonts w:ascii="宋体" w:hAnsi="宋体" w:cs="宋体"/>
        </w:rPr>
      </w:pPr>
      <w:r>
        <w:rPr>
          <w:rFonts w:hint="eastAsia" w:ascii="宋体" w:hAnsi="宋体" w:cs="宋体"/>
        </w:rPr>
        <w:t>2.检查施工情况。主要检查网络系统、应用系统、安全系统的施工质量。</w:t>
      </w:r>
    </w:p>
    <w:p w14:paraId="30EEC70B">
      <w:pPr>
        <w:ind w:firstLine="420" w:firstLineChars="200"/>
        <w:rPr>
          <w:rFonts w:ascii="宋体" w:hAnsi="宋体" w:cs="宋体"/>
        </w:rPr>
      </w:pPr>
      <w:r>
        <w:rPr>
          <w:rFonts w:hint="eastAsia" w:ascii="宋体" w:hAnsi="宋体" w:cs="宋体"/>
        </w:rPr>
        <w:t>3.检查执行法律法规和标准情况。主要检查项目建设和管理是否符合有关法律、法规和财政信息化建设相关标准。</w:t>
      </w:r>
    </w:p>
    <w:p w14:paraId="5356C3A4">
      <w:pPr>
        <w:ind w:firstLine="420" w:firstLineChars="200"/>
        <w:rPr>
          <w:rFonts w:ascii="宋体" w:hAnsi="宋体" w:cs="宋体"/>
        </w:rPr>
      </w:pPr>
      <w:r>
        <w:rPr>
          <w:rFonts w:hint="eastAsia" w:ascii="宋体" w:hAnsi="宋体" w:cs="宋体"/>
        </w:rPr>
        <w:t>4.检查档案资料情况。主要检查项目建设的批复文件及有关档案，单项设计、施工、监理、集成、验收等技术档案，合同档案，各类标准、管理文件及过程控制文件等档案资料。</w:t>
      </w:r>
    </w:p>
    <w:p w14:paraId="429C51D4">
      <w:pPr>
        <w:pStyle w:val="9"/>
        <w:ind w:left="0" w:leftChars="0" w:firstLine="420"/>
        <w:rPr>
          <w:rFonts w:ascii="宋体" w:hAnsi="宋体" w:cs="宋体"/>
        </w:rPr>
      </w:pPr>
      <w:r>
        <w:rPr>
          <w:rFonts w:hint="eastAsia" w:ascii="宋体" w:hAnsi="宋体" w:cs="宋体"/>
        </w:rPr>
        <w:t>5.应用系统项目审查内容：</w:t>
      </w:r>
    </w:p>
    <w:p w14:paraId="01FC1766">
      <w:pPr>
        <w:pStyle w:val="9"/>
        <w:ind w:left="0" w:leftChars="0" w:firstLine="420"/>
        <w:rPr>
          <w:rFonts w:ascii="宋体" w:hAnsi="宋体" w:cs="宋体"/>
        </w:rPr>
      </w:pPr>
      <w:r>
        <w:rPr>
          <w:rFonts w:hint="eastAsia" w:ascii="宋体" w:hAnsi="宋体" w:cs="宋体"/>
        </w:rPr>
        <w:t>（1）功能检查：对软件功能完整性、正确性进行审查和评价；</w:t>
      </w:r>
    </w:p>
    <w:p w14:paraId="3F1A4E51">
      <w:pPr>
        <w:pStyle w:val="9"/>
        <w:ind w:left="0" w:leftChars="0" w:firstLine="420"/>
        <w:rPr>
          <w:rFonts w:ascii="宋体" w:hAnsi="宋体" w:cs="宋体"/>
        </w:rPr>
      </w:pPr>
      <w:r>
        <w:rPr>
          <w:rFonts w:hint="eastAsia" w:ascii="宋体" w:hAnsi="宋体" w:cs="宋体"/>
        </w:rPr>
        <w:t>（2）项目管理审查：对项目计划、采用标准、需求方案及其执行情况进行审查和评价；</w:t>
      </w:r>
    </w:p>
    <w:p w14:paraId="6F3B3DFC">
      <w:pPr>
        <w:pStyle w:val="9"/>
        <w:ind w:left="0" w:leftChars="0" w:firstLine="420"/>
        <w:rPr>
          <w:rFonts w:ascii="宋体" w:hAnsi="宋体" w:cs="宋体"/>
        </w:rPr>
      </w:pPr>
      <w:r>
        <w:rPr>
          <w:rFonts w:hint="eastAsia" w:ascii="宋体" w:hAnsi="宋体" w:cs="宋体"/>
        </w:rPr>
        <w:t>（3）测试结果审查：对测试单位出具的项目测试报告、监理单位出具的监理报告等进行审查；</w:t>
      </w:r>
    </w:p>
    <w:p w14:paraId="4EC5E51B">
      <w:pPr>
        <w:pStyle w:val="9"/>
        <w:ind w:left="0" w:leftChars="0" w:firstLine="420"/>
        <w:rPr>
          <w:rFonts w:ascii="宋体" w:hAnsi="宋体" w:cs="宋体"/>
        </w:rPr>
      </w:pPr>
      <w:r>
        <w:rPr>
          <w:rFonts w:hint="eastAsia" w:ascii="宋体" w:hAnsi="宋体" w:cs="宋体"/>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14:paraId="18F320B1">
      <w:pPr>
        <w:pStyle w:val="9"/>
        <w:ind w:left="420" w:leftChars="200"/>
        <w:rPr>
          <w:rFonts w:ascii="宋体" w:hAnsi="宋体" w:cs="宋体"/>
          <w:b/>
          <w:bCs/>
        </w:rPr>
      </w:pPr>
      <w:r>
        <w:rPr>
          <w:rFonts w:hint="eastAsia" w:ascii="宋体" w:hAnsi="宋体" w:cs="宋体"/>
          <w:b/>
          <w:bCs/>
        </w:rPr>
        <w:t>四、验收人员：</w:t>
      </w:r>
    </w:p>
    <w:p w14:paraId="4239DEA6">
      <w:pPr>
        <w:pStyle w:val="9"/>
        <w:ind w:left="420" w:leftChars="200"/>
        <w:rPr>
          <w:rFonts w:ascii="宋体" w:hAnsi="宋体" w:cs="宋体"/>
        </w:rPr>
      </w:pPr>
      <w:r>
        <w:rPr>
          <w:rFonts w:hint="eastAsia" w:ascii="宋体" w:hAnsi="宋体" w:cs="宋体"/>
        </w:rPr>
        <w:t>随机抽取外聘专家组成项目的终验组，专家组成员人数为5人以上单数，设组长一名，由组内人员担任。</w:t>
      </w:r>
    </w:p>
    <w:p w14:paraId="411F508F">
      <w:pPr>
        <w:pStyle w:val="9"/>
        <w:ind w:left="0" w:leftChars="0" w:firstLine="420" w:firstLineChars="200"/>
        <w:rPr>
          <w:rFonts w:ascii="宋体" w:hAnsi="宋体" w:cs="宋体"/>
        </w:rPr>
      </w:pPr>
      <w:r>
        <w:rPr>
          <w:rFonts w:hint="eastAsia" w:ascii="宋体" w:hAnsi="宋体" w:cs="宋体"/>
        </w:rPr>
        <w:t>建设规模大、建设内容多的项目，可依据合同分别进行单项验收；有特殊要求的项目，应委托具有相应资质的专业机构进行验收。</w:t>
      </w:r>
    </w:p>
    <w:p w14:paraId="69625803">
      <w:pPr>
        <w:pStyle w:val="9"/>
        <w:ind w:left="0" w:leftChars="0" w:firstLine="422" w:firstLineChars="200"/>
        <w:rPr>
          <w:rFonts w:ascii="宋体" w:hAnsi="宋体" w:cs="宋体"/>
          <w:b/>
          <w:bCs/>
        </w:rPr>
      </w:pPr>
      <w:r>
        <w:rPr>
          <w:rFonts w:hint="eastAsia" w:ascii="宋体" w:hAnsi="宋体" w:cs="宋体"/>
          <w:b/>
          <w:bCs/>
        </w:rPr>
        <w:t>五、验收结果：</w:t>
      </w:r>
    </w:p>
    <w:p w14:paraId="7CD751AA">
      <w:pPr>
        <w:pStyle w:val="9"/>
        <w:ind w:left="0" w:leftChars="0" w:firstLine="420" w:firstLineChars="200"/>
        <w:rPr>
          <w:rFonts w:ascii="宋体" w:hAnsi="宋体" w:cs="宋体"/>
        </w:rPr>
      </w:pPr>
      <w:r>
        <w:rPr>
          <w:rFonts w:hint="eastAsia" w:ascii="宋体" w:hAnsi="宋体" w:cs="宋体"/>
        </w:rPr>
        <w:t>竣工验收结论为“通过验收”、“需要复议”、“未通过验收”。</w:t>
      </w:r>
    </w:p>
    <w:p w14:paraId="6B64DA25">
      <w:pPr>
        <w:ind w:firstLine="420"/>
        <w:rPr>
          <w:rFonts w:ascii="宋体" w:hAnsi="宋体" w:cs="宋体"/>
        </w:rPr>
      </w:pPr>
      <w:r>
        <w:rPr>
          <w:rFonts w:hint="eastAsia" w:ascii="宋体" w:hAnsi="宋体" w:cs="宋体"/>
        </w:rPr>
        <w:t>通过验收标准：完成所有建设内容，技术指标达到设计要求，建设标准达到国家或财政信息化相关建设标准，系统运行安全稳定，建设过程符合国家有关规定。</w:t>
      </w:r>
    </w:p>
    <w:p w14:paraId="1711B328">
      <w:pPr>
        <w:ind w:firstLine="420" w:firstLineChars="200"/>
        <w:rPr>
          <w:rFonts w:ascii="宋体" w:hAnsi="宋体" w:cs="宋体"/>
        </w:rPr>
      </w:pPr>
      <w:r>
        <w:rPr>
          <w:rFonts w:hint="eastAsia" w:ascii="宋体" w:hAnsi="宋体" w:cs="宋体"/>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14:paraId="1D12C6CC">
      <w:pPr>
        <w:ind w:firstLine="420" w:firstLineChars="200"/>
        <w:rPr>
          <w:rFonts w:ascii="宋体" w:hAnsi="宋体" w:cs="宋体"/>
        </w:rPr>
      </w:pPr>
      <w:r>
        <w:rPr>
          <w:rFonts w:hint="eastAsia" w:ascii="宋体" w:hAnsi="宋体" w:cs="宋体"/>
        </w:rPr>
        <w:t>建设项目有下列情况之一，不能通过验收：</w:t>
      </w:r>
    </w:p>
    <w:p w14:paraId="74613B99">
      <w:pPr>
        <w:ind w:firstLine="420" w:firstLineChars="200"/>
        <w:rPr>
          <w:rFonts w:ascii="宋体" w:hAnsi="宋体" w:cs="宋体"/>
        </w:rPr>
      </w:pPr>
      <w:r>
        <w:rPr>
          <w:rFonts w:hint="eastAsia" w:ascii="宋体" w:hAnsi="宋体" w:cs="宋体"/>
        </w:rPr>
        <w:t>1.验收文件、资料、数据不真实；</w:t>
      </w:r>
    </w:p>
    <w:p w14:paraId="51386553">
      <w:pPr>
        <w:ind w:firstLine="420" w:firstLineChars="200"/>
        <w:rPr>
          <w:rFonts w:ascii="宋体" w:hAnsi="宋体" w:cs="宋体"/>
        </w:rPr>
      </w:pPr>
      <w:r>
        <w:rPr>
          <w:rFonts w:hint="eastAsia" w:ascii="宋体" w:hAnsi="宋体" w:cs="宋体"/>
        </w:rPr>
        <w:t>2.未达到设计要求；</w:t>
      </w:r>
    </w:p>
    <w:p w14:paraId="7B940E05">
      <w:pPr>
        <w:ind w:firstLine="420" w:firstLineChars="200"/>
        <w:rPr>
          <w:rFonts w:ascii="宋体" w:hAnsi="宋体" w:cs="宋体"/>
        </w:rPr>
      </w:pPr>
      <w:r>
        <w:rPr>
          <w:rFonts w:hint="eastAsia" w:ascii="宋体" w:hAnsi="宋体" w:cs="宋体"/>
        </w:rPr>
        <w:t>3.设计、施工不符合国家或财政信息化建设相关标准要求；</w:t>
      </w:r>
    </w:p>
    <w:p w14:paraId="79EAD318">
      <w:pPr>
        <w:ind w:firstLine="420" w:firstLineChars="200"/>
        <w:rPr>
          <w:rFonts w:ascii="宋体" w:hAnsi="宋体" w:cs="宋体"/>
        </w:rPr>
      </w:pPr>
      <w:r>
        <w:rPr>
          <w:rFonts w:hint="eastAsia" w:ascii="宋体" w:hAnsi="宋体" w:cs="宋体"/>
        </w:rPr>
        <w:t>4.擅自修改设计目标和建设内容；</w:t>
      </w:r>
    </w:p>
    <w:p w14:paraId="40B13488">
      <w:pPr>
        <w:ind w:firstLine="420" w:firstLineChars="200"/>
        <w:rPr>
          <w:rFonts w:ascii="宋体" w:hAnsi="宋体" w:cs="宋体"/>
        </w:rPr>
      </w:pPr>
      <w:r>
        <w:rPr>
          <w:rFonts w:hint="eastAsia" w:ascii="宋体" w:hAnsi="宋体" w:cs="宋体"/>
        </w:rPr>
        <w:t>5.项目实施过程中出现重大问题，未能解决和做出说明，或存在纠纷尚未解决的；</w:t>
      </w:r>
    </w:p>
    <w:p w14:paraId="69392623">
      <w:pPr>
        <w:ind w:firstLine="420" w:firstLineChars="200"/>
        <w:rPr>
          <w:rFonts w:ascii="宋体" w:hAnsi="宋体" w:cs="宋体"/>
        </w:rPr>
      </w:pPr>
      <w:r>
        <w:rPr>
          <w:rFonts w:hint="eastAsia" w:ascii="宋体" w:hAnsi="宋体" w:cs="宋体"/>
        </w:rPr>
        <w:t>项目未通过验收的，甲方以书面形式通知乙方，限期整改，符合验收条件后，可再次提出验收申请。</w:t>
      </w:r>
    </w:p>
    <w:p w14:paraId="5078F9A9">
      <w:pPr>
        <w:pStyle w:val="9"/>
        <w:ind w:left="420" w:leftChars="200"/>
        <w:rPr>
          <w:rFonts w:ascii="宋体" w:hAnsi="宋体" w:cs="宋体"/>
          <w:b/>
          <w:bCs/>
        </w:rPr>
      </w:pPr>
      <w:r>
        <w:rPr>
          <w:rFonts w:hint="eastAsia" w:ascii="宋体" w:hAnsi="宋体" w:cs="宋体"/>
          <w:b/>
          <w:bCs/>
        </w:rPr>
        <w:t>六、验收文档：</w:t>
      </w:r>
    </w:p>
    <w:p w14:paraId="4C0EA647">
      <w:pPr>
        <w:pStyle w:val="9"/>
        <w:ind w:left="420" w:leftChars="200"/>
        <w:rPr>
          <w:rFonts w:ascii="宋体" w:hAnsi="宋体" w:cs="宋体"/>
        </w:rPr>
      </w:pPr>
      <w:r>
        <w:rPr>
          <w:rFonts w:hint="eastAsia" w:ascii="宋体" w:hAnsi="宋体" w:cs="宋体"/>
        </w:rPr>
        <w:t>参考下表（包含且不限于以下内容）：</w:t>
      </w:r>
    </w:p>
    <w:tbl>
      <w:tblPr>
        <w:tblStyle w:val="22"/>
        <w:tblpPr w:leftFromText="180" w:rightFromText="180" w:vertAnchor="text" w:horzAnchor="page" w:tblpX="1921" w:tblpY="247"/>
        <w:tblOverlap w:val="never"/>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3493"/>
        <w:gridCol w:w="2670"/>
      </w:tblGrid>
      <w:tr w14:paraId="06FA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9" w:type="dxa"/>
          </w:tcPr>
          <w:p w14:paraId="690DE27C">
            <w:pPr>
              <w:widowControl/>
              <w:jc w:val="center"/>
              <w:rPr>
                <w:b/>
                <w:bCs/>
              </w:rPr>
            </w:pPr>
            <w:r>
              <w:rPr>
                <w:rFonts w:hint="eastAsia"/>
                <w:b/>
                <w:bCs/>
              </w:rPr>
              <w:t>文档类型</w:t>
            </w:r>
          </w:p>
        </w:tc>
        <w:tc>
          <w:tcPr>
            <w:tcW w:w="3493" w:type="dxa"/>
          </w:tcPr>
          <w:p w14:paraId="54B69014">
            <w:pPr>
              <w:widowControl/>
              <w:jc w:val="center"/>
              <w:rPr>
                <w:b/>
                <w:bCs/>
              </w:rPr>
            </w:pPr>
            <w:r>
              <w:rPr>
                <w:rFonts w:hint="eastAsia"/>
                <w:b/>
                <w:bCs/>
              </w:rPr>
              <w:t>文档名称</w:t>
            </w:r>
          </w:p>
        </w:tc>
        <w:tc>
          <w:tcPr>
            <w:tcW w:w="2670" w:type="dxa"/>
          </w:tcPr>
          <w:p w14:paraId="7AC231B8">
            <w:pPr>
              <w:widowControl/>
              <w:jc w:val="center"/>
              <w:rPr>
                <w:b/>
                <w:bCs/>
              </w:rPr>
            </w:pPr>
            <w:r>
              <w:rPr>
                <w:rFonts w:hint="eastAsia"/>
                <w:b/>
                <w:bCs/>
              </w:rPr>
              <w:t>提交方</w:t>
            </w:r>
          </w:p>
        </w:tc>
      </w:tr>
      <w:tr w14:paraId="6DE2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14:paraId="4C665393">
            <w:pPr>
              <w:widowControl/>
              <w:jc w:val="center"/>
            </w:pPr>
          </w:p>
        </w:tc>
        <w:tc>
          <w:tcPr>
            <w:tcW w:w="3493" w:type="dxa"/>
          </w:tcPr>
          <w:p w14:paraId="0CA10852">
            <w:pPr>
              <w:widowControl/>
              <w:jc w:val="center"/>
            </w:pPr>
            <w:r>
              <w:rPr>
                <w:rFonts w:hint="eastAsia"/>
              </w:rPr>
              <w:t>验收申请表</w:t>
            </w:r>
          </w:p>
        </w:tc>
        <w:tc>
          <w:tcPr>
            <w:tcW w:w="2670" w:type="dxa"/>
          </w:tcPr>
          <w:p w14:paraId="18C8E412">
            <w:pPr>
              <w:widowControl/>
              <w:jc w:val="center"/>
            </w:pPr>
            <w:r>
              <w:rPr>
                <w:rFonts w:hint="eastAsia"/>
              </w:rPr>
              <w:t>乙方</w:t>
            </w:r>
          </w:p>
        </w:tc>
      </w:tr>
      <w:tr w14:paraId="57D0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14:paraId="1A292504">
            <w:pPr>
              <w:widowControl/>
              <w:jc w:val="center"/>
            </w:pPr>
            <w:r>
              <w:rPr>
                <w:rFonts w:hint="eastAsia"/>
              </w:rPr>
              <w:t>项目立项资料</w:t>
            </w:r>
          </w:p>
        </w:tc>
        <w:tc>
          <w:tcPr>
            <w:tcW w:w="3493" w:type="dxa"/>
          </w:tcPr>
          <w:p w14:paraId="377DD2C3">
            <w:pPr>
              <w:widowControl/>
              <w:jc w:val="center"/>
            </w:pPr>
            <w:r>
              <w:rPr>
                <w:rFonts w:hint="eastAsia"/>
              </w:rPr>
              <w:t>有关项目建设的申请及批复</w:t>
            </w:r>
          </w:p>
        </w:tc>
        <w:tc>
          <w:tcPr>
            <w:tcW w:w="2670" w:type="dxa"/>
          </w:tcPr>
          <w:p w14:paraId="710B412D">
            <w:pPr>
              <w:widowControl/>
              <w:jc w:val="center"/>
            </w:pPr>
            <w:r>
              <w:rPr>
                <w:rFonts w:hint="eastAsia"/>
              </w:rPr>
              <w:t>甲方</w:t>
            </w:r>
          </w:p>
        </w:tc>
      </w:tr>
      <w:tr w14:paraId="41EC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700CF9B1">
            <w:pPr>
              <w:widowControl/>
              <w:jc w:val="center"/>
            </w:pPr>
          </w:p>
        </w:tc>
        <w:tc>
          <w:tcPr>
            <w:tcW w:w="3493" w:type="dxa"/>
          </w:tcPr>
          <w:p w14:paraId="3CD3E074">
            <w:pPr>
              <w:widowControl/>
              <w:jc w:val="center"/>
            </w:pPr>
            <w:r>
              <w:rPr>
                <w:rFonts w:hint="eastAsia"/>
              </w:rPr>
              <w:t>可研报告（实施方案）</w:t>
            </w:r>
          </w:p>
        </w:tc>
        <w:tc>
          <w:tcPr>
            <w:tcW w:w="2670" w:type="dxa"/>
          </w:tcPr>
          <w:p w14:paraId="2756A460">
            <w:pPr>
              <w:widowControl/>
              <w:jc w:val="center"/>
            </w:pPr>
            <w:r>
              <w:rPr>
                <w:rFonts w:hint="eastAsia"/>
              </w:rPr>
              <w:t>甲方</w:t>
            </w:r>
          </w:p>
        </w:tc>
      </w:tr>
      <w:tr w14:paraId="4F6D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14:paraId="3010A7B4">
            <w:pPr>
              <w:widowControl/>
              <w:jc w:val="center"/>
            </w:pPr>
            <w:r>
              <w:rPr>
                <w:rFonts w:hint="eastAsia"/>
              </w:rPr>
              <w:t>合同资料</w:t>
            </w:r>
          </w:p>
        </w:tc>
        <w:tc>
          <w:tcPr>
            <w:tcW w:w="3493" w:type="dxa"/>
          </w:tcPr>
          <w:p w14:paraId="09FE7637">
            <w:pPr>
              <w:widowControl/>
              <w:jc w:val="center"/>
            </w:pPr>
            <w:r>
              <w:rPr>
                <w:rFonts w:hint="eastAsia"/>
              </w:rPr>
              <w:t>招标文件</w:t>
            </w:r>
          </w:p>
        </w:tc>
        <w:tc>
          <w:tcPr>
            <w:tcW w:w="2670" w:type="dxa"/>
          </w:tcPr>
          <w:p w14:paraId="0209DCF3">
            <w:pPr>
              <w:widowControl/>
              <w:jc w:val="center"/>
            </w:pPr>
            <w:r>
              <w:rPr>
                <w:rFonts w:hint="eastAsia"/>
              </w:rPr>
              <w:t>甲方</w:t>
            </w:r>
          </w:p>
        </w:tc>
      </w:tr>
      <w:tr w14:paraId="51A8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487F450F">
            <w:pPr>
              <w:widowControl/>
              <w:jc w:val="center"/>
            </w:pPr>
          </w:p>
        </w:tc>
        <w:tc>
          <w:tcPr>
            <w:tcW w:w="3493" w:type="dxa"/>
          </w:tcPr>
          <w:p w14:paraId="55892C63">
            <w:pPr>
              <w:widowControl/>
              <w:jc w:val="center"/>
            </w:pPr>
            <w:r>
              <w:rPr>
                <w:rFonts w:hint="eastAsia"/>
              </w:rPr>
              <w:t>投标文件</w:t>
            </w:r>
          </w:p>
        </w:tc>
        <w:tc>
          <w:tcPr>
            <w:tcW w:w="2670" w:type="dxa"/>
          </w:tcPr>
          <w:p w14:paraId="0A78A6F0">
            <w:pPr>
              <w:widowControl/>
              <w:jc w:val="center"/>
            </w:pPr>
            <w:r>
              <w:rPr>
                <w:rFonts w:hint="eastAsia"/>
              </w:rPr>
              <w:t>乙方</w:t>
            </w:r>
          </w:p>
        </w:tc>
      </w:tr>
      <w:tr w14:paraId="5F4B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5A3BA4B9">
            <w:pPr>
              <w:widowControl/>
              <w:jc w:val="center"/>
            </w:pPr>
          </w:p>
        </w:tc>
        <w:tc>
          <w:tcPr>
            <w:tcW w:w="3493" w:type="dxa"/>
          </w:tcPr>
          <w:p w14:paraId="3D2B2972">
            <w:pPr>
              <w:widowControl/>
              <w:jc w:val="center"/>
            </w:pPr>
            <w:r>
              <w:rPr>
                <w:rFonts w:hint="eastAsia"/>
              </w:rPr>
              <w:t>中标通知书</w:t>
            </w:r>
          </w:p>
        </w:tc>
        <w:tc>
          <w:tcPr>
            <w:tcW w:w="2670" w:type="dxa"/>
          </w:tcPr>
          <w:p w14:paraId="3BE1C4E5">
            <w:pPr>
              <w:widowControl/>
              <w:jc w:val="center"/>
            </w:pPr>
            <w:r>
              <w:rPr>
                <w:rFonts w:hint="eastAsia"/>
              </w:rPr>
              <w:t>乙方</w:t>
            </w:r>
          </w:p>
        </w:tc>
      </w:tr>
      <w:tr w14:paraId="7097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66F46552">
            <w:pPr>
              <w:widowControl/>
              <w:jc w:val="center"/>
            </w:pPr>
          </w:p>
        </w:tc>
        <w:tc>
          <w:tcPr>
            <w:tcW w:w="3493" w:type="dxa"/>
          </w:tcPr>
          <w:p w14:paraId="48DFEF4D">
            <w:pPr>
              <w:widowControl/>
              <w:jc w:val="center"/>
            </w:pPr>
            <w:r>
              <w:rPr>
                <w:rFonts w:hint="eastAsia"/>
              </w:rPr>
              <w:t>项目合同</w:t>
            </w:r>
          </w:p>
        </w:tc>
        <w:tc>
          <w:tcPr>
            <w:tcW w:w="2670" w:type="dxa"/>
          </w:tcPr>
          <w:p w14:paraId="51EC481F">
            <w:pPr>
              <w:widowControl/>
              <w:jc w:val="center"/>
            </w:pPr>
            <w:r>
              <w:rPr>
                <w:rFonts w:hint="eastAsia"/>
              </w:rPr>
              <w:t>甲方</w:t>
            </w:r>
          </w:p>
        </w:tc>
      </w:tr>
      <w:tr w14:paraId="12F1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037CB2EF">
            <w:pPr>
              <w:widowControl/>
              <w:jc w:val="center"/>
            </w:pPr>
          </w:p>
        </w:tc>
        <w:tc>
          <w:tcPr>
            <w:tcW w:w="3493" w:type="dxa"/>
          </w:tcPr>
          <w:p w14:paraId="61E92C80">
            <w:pPr>
              <w:widowControl/>
              <w:jc w:val="center"/>
            </w:pPr>
            <w:r>
              <w:rPr>
                <w:rFonts w:hint="eastAsia"/>
              </w:rPr>
              <w:t>监理合同</w:t>
            </w:r>
          </w:p>
        </w:tc>
        <w:tc>
          <w:tcPr>
            <w:tcW w:w="2670" w:type="dxa"/>
          </w:tcPr>
          <w:p w14:paraId="495D14C0">
            <w:pPr>
              <w:widowControl/>
              <w:jc w:val="center"/>
            </w:pPr>
            <w:r>
              <w:rPr>
                <w:rFonts w:hint="eastAsia"/>
              </w:rPr>
              <w:t>甲方/监理（如有）</w:t>
            </w:r>
          </w:p>
        </w:tc>
      </w:tr>
      <w:tr w14:paraId="1146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9" w:type="dxa"/>
            <w:vMerge w:val="restart"/>
            <w:vAlign w:val="center"/>
          </w:tcPr>
          <w:p w14:paraId="6236C63C">
            <w:pPr>
              <w:widowControl/>
              <w:jc w:val="center"/>
            </w:pPr>
            <w:r>
              <w:rPr>
                <w:rFonts w:hint="eastAsia"/>
              </w:rPr>
              <w:t>建设实施资料</w:t>
            </w:r>
          </w:p>
        </w:tc>
        <w:tc>
          <w:tcPr>
            <w:tcW w:w="3493" w:type="dxa"/>
          </w:tcPr>
          <w:p w14:paraId="6A5FE5B4">
            <w:pPr>
              <w:widowControl/>
              <w:jc w:val="center"/>
            </w:pPr>
            <w:r>
              <w:rPr>
                <w:rFonts w:hint="eastAsia"/>
              </w:rPr>
              <w:t>项目调研方案/记录</w:t>
            </w:r>
          </w:p>
        </w:tc>
        <w:tc>
          <w:tcPr>
            <w:tcW w:w="2670" w:type="dxa"/>
          </w:tcPr>
          <w:p w14:paraId="7BFC1888">
            <w:pPr>
              <w:widowControl/>
              <w:jc w:val="center"/>
            </w:pPr>
            <w:r>
              <w:rPr>
                <w:rFonts w:hint="eastAsia"/>
              </w:rPr>
              <w:t>乙方</w:t>
            </w:r>
          </w:p>
        </w:tc>
      </w:tr>
      <w:tr w14:paraId="3B6E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496286A4">
            <w:pPr>
              <w:widowControl/>
              <w:jc w:val="center"/>
            </w:pPr>
          </w:p>
        </w:tc>
        <w:tc>
          <w:tcPr>
            <w:tcW w:w="3493" w:type="dxa"/>
          </w:tcPr>
          <w:p w14:paraId="63D42F92">
            <w:pPr>
              <w:widowControl/>
              <w:jc w:val="center"/>
            </w:pPr>
            <w:r>
              <w:rPr>
                <w:rFonts w:hint="eastAsia"/>
              </w:rPr>
              <w:t>项目实施方案/计划</w:t>
            </w:r>
          </w:p>
        </w:tc>
        <w:tc>
          <w:tcPr>
            <w:tcW w:w="2670" w:type="dxa"/>
          </w:tcPr>
          <w:p w14:paraId="5E31E6C1">
            <w:pPr>
              <w:widowControl/>
              <w:jc w:val="center"/>
            </w:pPr>
            <w:r>
              <w:rPr>
                <w:rFonts w:hint="eastAsia"/>
              </w:rPr>
              <w:t>乙方</w:t>
            </w:r>
          </w:p>
        </w:tc>
      </w:tr>
      <w:tr w14:paraId="1935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131EA33D">
            <w:pPr>
              <w:widowControl/>
              <w:jc w:val="center"/>
            </w:pPr>
          </w:p>
        </w:tc>
        <w:tc>
          <w:tcPr>
            <w:tcW w:w="3493" w:type="dxa"/>
          </w:tcPr>
          <w:p w14:paraId="19690C51">
            <w:pPr>
              <w:widowControl/>
              <w:jc w:val="center"/>
            </w:pPr>
            <w:r>
              <w:rPr>
                <w:rFonts w:hint="eastAsia"/>
              </w:rPr>
              <w:t>项目启动会议纪要</w:t>
            </w:r>
          </w:p>
        </w:tc>
        <w:tc>
          <w:tcPr>
            <w:tcW w:w="2670" w:type="dxa"/>
          </w:tcPr>
          <w:p w14:paraId="6E0A38E5">
            <w:pPr>
              <w:widowControl/>
              <w:jc w:val="center"/>
            </w:pPr>
            <w:r>
              <w:rPr>
                <w:rFonts w:hint="eastAsia"/>
              </w:rPr>
              <w:t>乙方</w:t>
            </w:r>
          </w:p>
        </w:tc>
      </w:tr>
      <w:tr w14:paraId="20BE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36C526A6">
            <w:pPr>
              <w:widowControl/>
              <w:jc w:val="center"/>
            </w:pPr>
          </w:p>
        </w:tc>
        <w:tc>
          <w:tcPr>
            <w:tcW w:w="3493" w:type="dxa"/>
          </w:tcPr>
          <w:p w14:paraId="44688213">
            <w:pPr>
              <w:widowControl/>
              <w:jc w:val="center"/>
            </w:pPr>
            <w:r>
              <w:rPr>
                <w:rFonts w:hint="eastAsia"/>
              </w:rPr>
              <w:t>项目周报/月报</w:t>
            </w:r>
          </w:p>
        </w:tc>
        <w:tc>
          <w:tcPr>
            <w:tcW w:w="2670" w:type="dxa"/>
          </w:tcPr>
          <w:p w14:paraId="7852EF96">
            <w:pPr>
              <w:widowControl/>
              <w:jc w:val="center"/>
            </w:pPr>
            <w:r>
              <w:rPr>
                <w:rFonts w:hint="eastAsia"/>
              </w:rPr>
              <w:t>乙方</w:t>
            </w:r>
          </w:p>
        </w:tc>
      </w:tr>
      <w:tr w14:paraId="0E4E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3DEE6BE6">
            <w:pPr>
              <w:widowControl/>
              <w:jc w:val="center"/>
            </w:pPr>
          </w:p>
        </w:tc>
        <w:tc>
          <w:tcPr>
            <w:tcW w:w="3493" w:type="dxa"/>
          </w:tcPr>
          <w:p w14:paraId="7EAE3303">
            <w:pPr>
              <w:widowControl/>
              <w:jc w:val="center"/>
            </w:pPr>
            <w:r>
              <w:rPr>
                <w:rFonts w:hint="eastAsia"/>
              </w:rPr>
              <w:t>系统安装/维护手册</w:t>
            </w:r>
          </w:p>
        </w:tc>
        <w:tc>
          <w:tcPr>
            <w:tcW w:w="2670" w:type="dxa"/>
          </w:tcPr>
          <w:p w14:paraId="7BE7FFD5">
            <w:pPr>
              <w:widowControl/>
              <w:jc w:val="center"/>
            </w:pPr>
            <w:r>
              <w:rPr>
                <w:rFonts w:hint="eastAsia"/>
              </w:rPr>
              <w:t>乙方</w:t>
            </w:r>
          </w:p>
        </w:tc>
      </w:tr>
      <w:tr w14:paraId="1064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7813EC9D">
            <w:pPr>
              <w:widowControl/>
              <w:jc w:val="center"/>
            </w:pPr>
          </w:p>
        </w:tc>
        <w:tc>
          <w:tcPr>
            <w:tcW w:w="3493" w:type="dxa"/>
          </w:tcPr>
          <w:p w14:paraId="2F692FD5">
            <w:pPr>
              <w:widowControl/>
              <w:jc w:val="center"/>
            </w:pPr>
            <w:r>
              <w:rPr>
                <w:rFonts w:hint="eastAsia"/>
              </w:rPr>
              <w:t>系统培训手册</w:t>
            </w:r>
          </w:p>
        </w:tc>
        <w:tc>
          <w:tcPr>
            <w:tcW w:w="2670" w:type="dxa"/>
          </w:tcPr>
          <w:p w14:paraId="715CCE53">
            <w:pPr>
              <w:widowControl/>
              <w:jc w:val="center"/>
            </w:pPr>
            <w:r>
              <w:rPr>
                <w:rFonts w:hint="eastAsia"/>
              </w:rPr>
              <w:t>乙方</w:t>
            </w:r>
          </w:p>
        </w:tc>
      </w:tr>
      <w:tr w14:paraId="5F0D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70D50F6C">
            <w:pPr>
              <w:widowControl/>
              <w:jc w:val="center"/>
            </w:pPr>
          </w:p>
        </w:tc>
        <w:tc>
          <w:tcPr>
            <w:tcW w:w="3493" w:type="dxa"/>
          </w:tcPr>
          <w:p w14:paraId="38BD99AC">
            <w:pPr>
              <w:widowControl/>
              <w:jc w:val="center"/>
            </w:pPr>
            <w:r>
              <w:rPr>
                <w:rFonts w:hint="eastAsia"/>
              </w:rPr>
              <w:t>系统技术文档（安装文件）</w:t>
            </w:r>
          </w:p>
        </w:tc>
        <w:tc>
          <w:tcPr>
            <w:tcW w:w="2670" w:type="dxa"/>
          </w:tcPr>
          <w:p w14:paraId="5CBD23A4">
            <w:pPr>
              <w:widowControl/>
              <w:jc w:val="center"/>
            </w:pPr>
            <w:r>
              <w:rPr>
                <w:rFonts w:hint="eastAsia"/>
              </w:rPr>
              <w:t>乙方</w:t>
            </w:r>
          </w:p>
        </w:tc>
      </w:tr>
      <w:tr w14:paraId="3ED3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15C513D9">
            <w:pPr>
              <w:widowControl/>
              <w:jc w:val="center"/>
            </w:pPr>
          </w:p>
        </w:tc>
        <w:tc>
          <w:tcPr>
            <w:tcW w:w="3493" w:type="dxa"/>
          </w:tcPr>
          <w:p w14:paraId="44972E5E">
            <w:pPr>
              <w:widowControl/>
              <w:jc w:val="center"/>
            </w:pPr>
            <w:r>
              <w:rPr>
                <w:rFonts w:hint="eastAsia"/>
              </w:rPr>
              <w:t>培训过程文档</w:t>
            </w:r>
          </w:p>
        </w:tc>
        <w:tc>
          <w:tcPr>
            <w:tcW w:w="2670" w:type="dxa"/>
          </w:tcPr>
          <w:p w14:paraId="76DAB160">
            <w:pPr>
              <w:widowControl/>
              <w:jc w:val="center"/>
            </w:pPr>
            <w:r>
              <w:rPr>
                <w:rFonts w:hint="eastAsia"/>
              </w:rPr>
              <w:t>乙方</w:t>
            </w:r>
          </w:p>
        </w:tc>
      </w:tr>
      <w:tr w14:paraId="09F3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569E890C">
            <w:pPr>
              <w:widowControl/>
              <w:jc w:val="center"/>
            </w:pPr>
          </w:p>
        </w:tc>
        <w:tc>
          <w:tcPr>
            <w:tcW w:w="3493" w:type="dxa"/>
          </w:tcPr>
          <w:p w14:paraId="1AFC801B">
            <w:pPr>
              <w:widowControl/>
              <w:jc w:val="center"/>
            </w:pPr>
            <w:r>
              <w:rPr>
                <w:rFonts w:hint="eastAsia"/>
              </w:rPr>
              <w:t>系统测试方案/报告</w:t>
            </w:r>
          </w:p>
        </w:tc>
        <w:tc>
          <w:tcPr>
            <w:tcW w:w="2670" w:type="dxa"/>
          </w:tcPr>
          <w:p w14:paraId="63CB511E">
            <w:pPr>
              <w:widowControl/>
              <w:jc w:val="center"/>
            </w:pPr>
            <w:r>
              <w:rPr>
                <w:rFonts w:hint="eastAsia"/>
              </w:rPr>
              <w:t>乙方</w:t>
            </w:r>
          </w:p>
        </w:tc>
      </w:tr>
      <w:tr w14:paraId="5EAF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680F942A">
            <w:pPr>
              <w:widowControl/>
              <w:jc w:val="center"/>
            </w:pPr>
          </w:p>
        </w:tc>
        <w:tc>
          <w:tcPr>
            <w:tcW w:w="3493" w:type="dxa"/>
          </w:tcPr>
          <w:p w14:paraId="38B41049">
            <w:pPr>
              <w:widowControl/>
              <w:jc w:val="center"/>
            </w:pPr>
            <w:r>
              <w:rPr>
                <w:rFonts w:hint="eastAsia"/>
              </w:rPr>
              <w:t>系统试运行方案/报告</w:t>
            </w:r>
          </w:p>
        </w:tc>
        <w:tc>
          <w:tcPr>
            <w:tcW w:w="2670" w:type="dxa"/>
          </w:tcPr>
          <w:p w14:paraId="6EE1921D">
            <w:pPr>
              <w:widowControl/>
              <w:jc w:val="center"/>
            </w:pPr>
            <w:r>
              <w:rPr>
                <w:rFonts w:hint="eastAsia"/>
              </w:rPr>
              <w:t>乙方</w:t>
            </w:r>
          </w:p>
        </w:tc>
      </w:tr>
      <w:tr w14:paraId="5C2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084F2B24">
            <w:pPr>
              <w:widowControl/>
              <w:jc w:val="center"/>
            </w:pPr>
          </w:p>
        </w:tc>
        <w:tc>
          <w:tcPr>
            <w:tcW w:w="3493" w:type="dxa"/>
          </w:tcPr>
          <w:p w14:paraId="6036A917">
            <w:pPr>
              <w:widowControl/>
              <w:jc w:val="center"/>
            </w:pPr>
            <w:r>
              <w:rPr>
                <w:rFonts w:hint="eastAsia"/>
              </w:rPr>
              <w:t>用户试用报告/意见书</w:t>
            </w:r>
          </w:p>
        </w:tc>
        <w:tc>
          <w:tcPr>
            <w:tcW w:w="2670" w:type="dxa"/>
          </w:tcPr>
          <w:p w14:paraId="2C01CD38">
            <w:pPr>
              <w:widowControl/>
              <w:jc w:val="center"/>
            </w:pPr>
            <w:r>
              <w:rPr>
                <w:rFonts w:hint="eastAsia"/>
              </w:rPr>
              <w:t>甲方</w:t>
            </w:r>
          </w:p>
        </w:tc>
      </w:tr>
      <w:tr w14:paraId="4075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9" w:type="dxa"/>
            <w:vMerge w:val="continue"/>
          </w:tcPr>
          <w:p w14:paraId="6C274A3D">
            <w:pPr>
              <w:widowControl/>
              <w:jc w:val="center"/>
            </w:pPr>
          </w:p>
        </w:tc>
        <w:tc>
          <w:tcPr>
            <w:tcW w:w="3493" w:type="dxa"/>
          </w:tcPr>
          <w:p w14:paraId="3A57ED69">
            <w:pPr>
              <w:widowControl/>
              <w:jc w:val="center"/>
            </w:pPr>
            <w:r>
              <w:rPr>
                <w:rFonts w:hint="eastAsia"/>
              </w:rPr>
              <w:t>监理规划</w:t>
            </w:r>
          </w:p>
        </w:tc>
        <w:tc>
          <w:tcPr>
            <w:tcW w:w="2670" w:type="dxa"/>
          </w:tcPr>
          <w:p w14:paraId="5A3BBAAC">
            <w:pPr>
              <w:widowControl/>
              <w:jc w:val="center"/>
            </w:pPr>
            <w:r>
              <w:rPr>
                <w:rFonts w:hint="eastAsia"/>
              </w:rPr>
              <w:t>甲方/监理（如有）</w:t>
            </w:r>
          </w:p>
        </w:tc>
      </w:tr>
      <w:tr w14:paraId="44B6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14:paraId="6BCD83AD">
            <w:pPr>
              <w:widowControl/>
              <w:jc w:val="center"/>
            </w:pPr>
          </w:p>
        </w:tc>
        <w:tc>
          <w:tcPr>
            <w:tcW w:w="3493" w:type="dxa"/>
          </w:tcPr>
          <w:p w14:paraId="46416627">
            <w:pPr>
              <w:widowControl/>
              <w:jc w:val="center"/>
            </w:pPr>
            <w:r>
              <w:rPr>
                <w:rFonts w:hint="eastAsia"/>
              </w:rPr>
              <w:t>监理周报/月报</w:t>
            </w:r>
          </w:p>
        </w:tc>
        <w:tc>
          <w:tcPr>
            <w:tcW w:w="2670" w:type="dxa"/>
          </w:tcPr>
          <w:p w14:paraId="55F8CBFF">
            <w:pPr>
              <w:widowControl/>
              <w:jc w:val="center"/>
            </w:pPr>
            <w:r>
              <w:rPr>
                <w:rFonts w:hint="eastAsia"/>
              </w:rPr>
              <w:t>甲方/监理（如有）</w:t>
            </w:r>
          </w:p>
        </w:tc>
      </w:tr>
      <w:tr w14:paraId="64EC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14:paraId="3364F6F4">
            <w:pPr>
              <w:widowControl/>
              <w:jc w:val="center"/>
            </w:pPr>
          </w:p>
        </w:tc>
        <w:tc>
          <w:tcPr>
            <w:tcW w:w="3493" w:type="dxa"/>
          </w:tcPr>
          <w:p w14:paraId="4362AC15">
            <w:pPr>
              <w:widowControl/>
              <w:jc w:val="center"/>
            </w:pPr>
            <w:r>
              <w:rPr>
                <w:rFonts w:hint="eastAsia"/>
              </w:rPr>
              <w:t>监理工作总结报告</w:t>
            </w:r>
          </w:p>
        </w:tc>
        <w:tc>
          <w:tcPr>
            <w:tcW w:w="2670" w:type="dxa"/>
          </w:tcPr>
          <w:p w14:paraId="3B70795F">
            <w:pPr>
              <w:widowControl/>
              <w:jc w:val="center"/>
            </w:pPr>
            <w:r>
              <w:rPr>
                <w:rFonts w:hint="eastAsia"/>
              </w:rPr>
              <w:t>甲方/监理（如有）</w:t>
            </w:r>
          </w:p>
        </w:tc>
      </w:tr>
      <w:tr w14:paraId="778B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14:paraId="73218127">
            <w:pPr>
              <w:widowControl/>
              <w:jc w:val="center"/>
            </w:pPr>
          </w:p>
        </w:tc>
        <w:tc>
          <w:tcPr>
            <w:tcW w:w="3493" w:type="dxa"/>
          </w:tcPr>
          <w:p w14:paraId="67649F44">
            <w:pPr>
              <w:widowControl/>
              <w:jc w:val="center"/>
            </w:pPr>
            <w:r>
              <w:rPr>
                <w:rFonts w:hint="eastAsia"/>
              </w:rPr>
              <w:t>项目变更申请单</w:t>
            </w:r>
          </w:p>
        </w:tc>
        <w:tc>
          <w:tcPr>
            <w:tcW w:w="2670" w:type="dxa"/>
          </w:tcPr>
          <w:p w14:paraId="1A3ED556">
            <w:pPr>
              <w:widowControl/>
              <w:jc w:val="center"/>
            </w:pPr>
            <w:r>
              <w:rPr>
                <w:rFonts w:hint="eastAsia"/>
              </w:rPr>
              <w:t>乙方（如有）</w:t>
            </w:r>
          </w:p>
        </w:tc>
      </w:tr>
    </w:tbl>
    <w:p w14:paraId="2D3392A4">
      <w:pPr>
        <w:pStyle w:val="9"/>
        <w:spacing w:line="400" w:lineRule="exact"/>
        <w:ind w:left="0" w:leftChars="0"/>
        <w:rPr>
          <w:rFonts w:ascii="宋体" w:hAnsi="宋体" w:cs="宋体"/>
        </w:rPr>
      </w:pPr>
    </w:p>
    <w:p w14:paraId="2E8D6C7B">
      <w:pPr>
        <w:pStyle w:val="9"/>
        <w:spacing w:line="400" w:lineRule="exact"/>
        <w:ind w:left="0" w:leftChars="0"/>
        <w:rPr>
          <w:rFonts w:ascii="宋体" w:hAnsi="宋体" w:cs="宋体"/>
        </w:rPr>
      </w:pPr>
    </w:p>
    <w:p w14:paraId="0287686E">
      <w:pPr>
        <w:adjustRightInd w:val="0"/>
        <w:snapToGrid w:val="0"/>
        <w:rPr>
          <w:rFonts w:ascii="宋体" w:hAnsi="宋体" w:cs="宋体"/>
        </w:rPr>
      </w:pPr>
    </w:p>
    <w:p w14:paraId="1FBDEADA">
      <w:pPr>
        <w:adjustRightInd w:val="0"/>
        <w:snapToGrid w:val="0"/>
        <w:rPr>
          <w:rFonts w:ascii="宋体" w:hAnsi="宋体" w:cs="宋体"/>
        </w:rPr>
      </w:pPr>
    </w:p>
    <w:p w14:paraId="53E76B16">
      <w:pPr>
        <w:adjustRightInd w:val="0"/>
        <w:snapToGrid w:val="0"/>
        <w:rPr>
          <w:rFonts w:ascii="宋体" w:hAnsi="宋体" w:cs="宋体"/>
          <w:lang w:val="zh-CN"/>
        </w:rPr>
      </w:pPr>
      <w:r>
        <w:rPr>
          <w:rFonts w:hint="eastAsia" w:ascii="宋体" w:hAnsi="宋体" w:cs="宋体"/>
          <w:b/>
          <w:bCs/>
          <w:sz w:val="24"/>
          <w:szCs w:val="24"/>
          <w:lang w:val="zh-CN"/>
        </w:rPr>
        <w:t>附件4：《安全生产承诺书》</w:t>
      </w:r>
    </w:p>
    <w:p w14:paraId="70041D2E">
      <w:pPr>
        <w:ind w:firstLine="2209" w:firstLineChars="500"/>
        <w:rPr>
          <w:b/>
          <w:bCs/>
          <w:sz w:val="44"/>
          <w:szCs w:val="44"/>
        </w:rPr>
      </w:pPr>
      <w:r>
        <w:rPr>
          <w:rFonts w:hint="eastAsia"/>
          <w:b/>
          <w:bCs/>
          <w:sz w:val="44"/>
          <w:szCs w:val="44"/>
        </w:rPr>
        <w:t>安全生产承诺书</w:t>
      </w:r>
    </w:p>
    <w:p w14:paraId="68E06705">
      <w:pPr>
        <w:spacing w:line="400" w:lineRule="exact"/>
        <w:ind w:firstLine="420" w:firstLineChars="200"/>
        <w:rPr>
          <w:rFonts w:ascii="宋体" w:hAnsi="宋体"/>
          <w:bCs/>
        </w:rPr>
      </w:pPr>
    </w:p>
    <w:p w14:paraId="03DD07A8">
      <w:pPr>
        <w:spacing w:line="400" w:lineRule="exact"/>
        <w:ind w:firstLine="420" w:firstLineChars="200"/>
        <w:rPr>
          <w:rFonts w:ascii="宋体" w:hAnsi="宋体"/>
          <w:bCs/>
        </w:rPr>
      </w:pPr>
      <w:r>
        <w:rPr>
          <w:rFonts w:hint="eastAsia" w:ascii="宋体" w:hAnsi="宋体"/>
          <w:bCs/>
        </w:rPr>
        <w:t>中标单位全面负责本单位相关设备/软件安装（含维修）期间的消防、安全生产和治安防范工作，履行下列职责：</w:t>
      </w:r>
    </w:p>
    <w:p w14:paraId="517B6D88">
      <w:pPr>
        <w:spacing w:line="400" w:lineRule="exact"/>
        <w:ind w:firstLine="420" w:firstLineChars="200"/>
        <w:rPr>
          <w:rFonts w:ascii="宋体" w:hAnsi="宋体"/>
          <w:bCs/>
        </w:rPr>
      </w:pPr>
      <w:r>
        <w:rPr>
          <w:rFonts w:hint="eastAsia" w:ascii="宋体" w:hAnsi="宋体"/>
          <w:bCs/>
        </w:rPr>
        <w:t>一、贯彻执行消防法规、建筑法规、安全治安管理有关法律法规，自觉接受信息管理部门的安全管理领导。</w:t>
      </w:r>
    </w:p>
    <w:p w14:paraId="0725C869">
      <w:pPr>
        <w:spacing w:line="400" w:lineRule="exact"/>
        <w:ind w:firstLine="420" w:firstLineChars="200"/>
        <w:rPr>
          <w:rFonts w:ascii="宋体" w:hAnsi="宋体"/>
          <w:bCs/>
        </w:rPr>
      </w:pPr>
      <w:r>
        <w:rPr>
          <w:rFonts w:hint="eastAsia" w:ascii="宋体" w:hAnsi="宋体"/>
          <w:bCs/>
        </w:rPr>
        <w:t>二、设备/软件安装（含维修）管理必须坚持“安全第一、预防为主”的方针，软件安装（含维修）单位的法定代表人对本单位在</w:t>
      </w:r>
      <w:r>
        <w:rPr>
          <w:rFonts w:hint="eastAsia" w:ascii="宋体" w:hAnsi="宋体"/>
          <w:bCs/>
          <w:u w:val="single"/>
        </w:rPr>
        <w:t xml:space="preserve"> 南京市疾病预防控制中心 </w:t>
      </w:r>
      <w:r>
        <w:rPr>
          <w:rFonts w:hint="eastAsia" w:ascii="宋体" w:hAnsi="宋体"/>
          <w:bCs/>
        </w:rPr>
        <w:t>的安全生产负责。</w:t>
      </w:r>
    </w:p>
    <w:p w14:paraId="4F861AFE">
      <w:pPr>
        <w:spacing w:line="400" w:lineRule="exact"/>
        <w:ind w:firstLine="420" w:firstLineChars="200"/>
        <w:rPr>
          <w:rFonts w:ascii="宋体" w:hAnsi="宋体"/>
          <w:bCs/>
        </w:rPr>
      </w:pPr>
      <w:r>
        <w:rPr>
          <w:rFonts w:hint="eastAsia" w:ascii="宋体" w:hAnsi="宋体"/>
          <w:bCs/>
        </w:rPr>
        <w:t>三、设备/软件安装（含维修）单位必须依法加强对设备安全施工的管理，执行安全生产责任制度，采取有效措施，防止伤亡和其他安全生产责任事故的发生。</w:t>
      </w:r>
    </w:p>
    <w:p w14:paraId="66C65A9D">
      <w:pPr>
        <w:spacing w:line="400" w:lineRule="exact"/>
        <w:ind w:firstLine="420" w:firstLineChars="200"/>
        <w:rPr>
          <w:rFonts w:ascii="宋体" w:hAnsi="宋体"/>
          <w:bCs/>
        </w:rPr>
      </w:pPr>
      <w:r>
        <w:rPr>
          <w:rFonts w:hint="eastAsia" w:ascii="宋体" w:hAnsi="宋体"/>
          <w:bCs/>
        </w:rPr>
        <w:t>四、设备/软件安装（含维修）单位应当建立健全劳动安全生产教育培训制度，加强对职工安全生产的教育和培训，未经安全生产教育培训人员不得上岗作业。</w:t>
      </w:r>
    </w:p>
    <w:p w14:paraId="628F18CB">
      <w:pPr>
        <w:spacing w:line="400" w:lineRule="exact"/>
        <w:ind w:firstLine="420" w:firstLineChars="200"/>
        <w:rPr>
          <w:rFonts w:ascii="宋体" w:hAnsi="宋体"/>
          <w:bCs/>
        </w:rPr>
      </w:pPr>
      <w:r>
        <w:rPr>
          <w:rFonts w:hint="eastAsia" w:ascii="宋体" w:hAnsi="宋体"/>
          <w:bCs/>
        </w:rPr>
        <w:t>五、设备/软件安装（含维修）的施工人员在</w:t>
      </w:r>
      <w:r>
        <w:rPr>
          <w:rFonts w:hint="eastAsia" w:ascii="宋体" w:hAnsi="宋体"/>
          <w:bCs/>
          <w:u w:val="single"/>
        </w:rPr>
        <w:t>南京市疾病预防控制中心</w:t>
      </w:r>
      <w:r>
        <w:rPr>
          <w:rFonts w:hint="eastAsia" w:ascii="宋体" w:hAnsi="宋体"/>
          <w:bCs/>
        </w:rPr>
        <w:t>施工过程中，应当遵守有关安全生产的法律、法规和建筑行业的安全规章（规程），不得违章指挥或违章作业。</w:t>
      </w:r>
    </w:p>
    <w:p w14:paraId="26B702D5">
      <w:pPr>
        <w:spacing w:line="400" w:lineRule="exact"/>
        <w:ind w:firstLine="420" w:firstLineChars="200"/>
        <w:rPr>
          <w:rFonts w:ascii="宋体" w:hAnsi="宋体"/>
          <w:bCs/>
        </w:rPr>
      </w:pPr>
      <w:r>
        <w:rPr>
          <w:rFonts w:hint="eastAsia" w:ascii="宋体" w:hAnsi="宋体"/>
          <w:bCs/>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14:paraId="55F46C1C">
      <w:pPr>
        <w:spacing w:line="400" w:lineRule="exact"/>
        <w:ind w:firstLine="420" w:firstLineChars="200"/>
        <w:rPr>
          <w:rFonts w:ascii="宋体" w:hAnsi="宋体"/>
          <w:bCs/>
        </w:rPr>
      </w:pPr>
      <w:r>
        <w:rPr>
          <w:rFonts w:hint="eastAsia" w:ascii="宋体" w:hAnsi="宋体"/>
          <w:bCs/>
        </w:rPr>
        <w:t>七、设备/软件安装（含维修）单位应加强对在</w:t>
      </w:r>
      <w:r>
        <w:rPr>
          <w:rFonts w:hint="eastAsia" w:ascii="宋体" w:hAnsi="宋体"/>
          <w:bCs/>
          <w:u w:val="single"/>
        </w:rPr>
        <w:t>南京市疾病预防控制中心</w:t>
      </w:r>
      <w:r>
        <w:rPr>
          <w:rFonts w:hint="eastAsia" w:ascii="宋体" w:hAnsi="宋体"/>
          <w:bCs/>
        </w:rPr>
        <w:t>施工的工程人员的管理，并将在我单位施工的所有工作人员名单上报到</w:t>
      </w:r>
      <w:r>
        <w:rPr>
          <w:rFonts w:hint="eastAsia" w:ascii="宋体" w:hAnsi="宋体"/>
          <w:u w:val="single"/>
        </w:rPr>
        <w:t>南京市疾病预防控制中心</w:t>
      </w:r>
      <w:r>
        <w:rPr>
          <w:rFonts w:hint="eastAsia" w:ascii="宋体" w:hAnsi="宋体"/>
          <w:bCs/>
        </w:rPr>
        <w:t>备案，接受甲方动态监督。</w:t>
      </w:r>
    </w:p>
    <w:p w14:paraId="1CE459FF">
      <w:pPr>
        <w:spacing w:line="400" w:lineRule="exact"/>
        <w:ind w:firstLine="420" w:firstLineChars="200"/>
        <w:rPr>
          <w:rFonts w:ascii="宋体" w:hAnsi="宋体"/>
          <w:bCs/>
        </w:rPr>
      </w:pPr>
      <w:r>
        <w:rPr>
          <w:rFonts w:hint="eastAsia" w:ascii="宋体" w:hAnsi="宋体"/>
          <w:bCs/>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14:paraId="7F5D4DB8">
      <w:pPr>
        <w:spacing w:line="400" w:lineRule="exact"/>
        <w:ind w:firstLine="420" w:firstLineChars="200"/>
        <w:rPr>
          <w:rFonts w:ascii="宋体" w:hAnsi="宋体"/>
          <w:bCs/>
        </w:rPr>
      </w:pPr>
      <w:r>
        <w:rPr>
          <w:rFonts w:hint="eastAsia" w:ascii="宋体" w:hAnsi="宋体"/>
          <w:bCs/>
        </w:rPr>
        <w:t>十、请认真阅读以上规定，签字（盖章）后，表示已同意遵守甲方有关消防、安全生产、治安保卫规定，甲方对本制度有最终解释权。</w:t>
      </w:r>
    </w:p>
    <w:p w14:paraId="397B93FD">
      <w:pPr>
        <w:ind w:left="1260" w:leftChars="600"/>
      </w:pPr>
    </w:p>
    <w:p w14:paraId="54E92C66">
      <w:pPr>
        <w:spacing w:line="400" w:lineRule="exact"/>
        <w:ind w:firstLine="4200" w:firstLineChars="2000"/>
        <w:rPr>
          <w:rFonts w:ascii="宋体" w:hAnsi="宋体"/>
          <w:bCs/>
        </w:rPr>
      </w:pPr>
      <w:r>
        <w:rPr>
          <w:rFonts w:hint="eastAsia" w:ascii="宋体" w:hAnsi="宋体"/>
          <w:bCs/>
        </w:rPr>
        <w:t xml:space="preserve">   </w:t>
      </w:r>
    </w:p>
    <w:p w14:paraId="10591694">
      <w:pPr>
        <w:spacing w:line="400" w:lineRule="exact"/>
        <w:ind w:firstLine="4620" w:firstLineChars="2200"/>
        <w:rPr>
          <w:rFonts w:ascii="宋体" w:hAnsi="宋体"/>
          <w:bCs/>
        </w:rPr>
      </w:pPr>
      <w:r>
        <w:rPr>
          <w:rFonts w:hint="eastAsia" w:ascii="宋体" w:hAnsi="宋体"/>
          <w:bCs/>
        </w:rPr>
        <w:t xml:space="preserve">项目经理（签字）： </w:t>
      </w:r>
    </w:p>
    <w:p w14:paraId="44C3F738">
      <w:pPr>
        <w:spacing w:line="400" w:lineRule="exact"/>
        <w:ind w:firstLine="4410" w:firstLineChars="2100"/>
        <w:rPr>
          <w:rFonts w:ascii="宋体" w:hAnsi="宋体"/>
          <w:bCs/>
        </w:rPr>
      </w:pPr>
      <w:r>
        <w:rPr>
          <w:rFonts w:hint="eastAsia" w:ascii="宋体" w:hAnsi="宋体"/>
          <w:bCs/>
        </w:rPr>
        <w:t>日 期：  年 月 日</w:t>
      </w:r>
    </w:p>
    <w:p w14:paraId="2CEFF5D0">
      <w:pPr>
        <w:widowControl/>
        <w:spacing w:line="360" w:lineRule="auto"/>
        <w:ind w:firstLine="482"/>
        <w:rPr>
          <w:rFonts w:ascii="宋体" w:hAnsi="宋体" w:cs="宋体"/>
          <w:color w:val="000000"/>
          <w:kern w:val="0"/>
          <w:lang w:bidi="zh-CN"/>
        </w:rPr>
      </w:pPr>
      <w:r>
        <w:rPr>
          <w:rFonts w:ascii="宋体" w:hAnsi="宋体" w:cs="宋体"/>
          <w:color w:val="000000"/>
          <w:kern w:val="0"/>
          <w:lang w:bidi="zh-CN"/>
        </w:rPr>
        <w:br w:type="page"/>
      </w:r>
    </w:p>
    <w:p w14:paraId="0CB5F792">
      <w:pPr>
        <w:adjustRightInd w:val="0"/>
        <w:snapToGrid w:val="0"/>
        <w:rPr>
          <w:rFonts w:ascii="宋体" w:hAnsi="宋体" w:cs="宋体"/>
          <w:b/>
          <w:bCs/>
          <w:sz w:val="24"/>
          <w:szCs w:val="24"/>
          <w:lang w:val="zh-CN"/>
        </w:rPr>
      </w:pPr>
      <w:r>
        <w:rPr>
          <w:rFonts w:hint="eastAsia" w:ascii="宋体" w:hAnsi="宋体" w:cs="宋体"/>
          <w:b/>
          <w:bCs/>
          <w:sz w:val="24"/>
          <w:szCs w:val="24"/>
          <w:lang w:val="zh-CN"/>
        </w:rPr>
        <w:t>附件5：《南京</w:t>
      </w:r>
      <w:r>
        <w:rPr>
          <w:rFonts w:hint="eastAsia" w:ascii="宋体" w:hAnsi="宋体" w:cs="宋体"/>
          <w:b/>
          <w:bCs/>
          <w:sz w:val="24"/>
          <w:szCs w:val="24"/>
          <w:u w:val="single"/>
        </w:rPr>
        <w:t xml:space="preserve"> 市疾病预防控制中心 </w:t>
      </w:r>
      <w:r>
        <w:rPr>
          <w:rFonts w:hint="eastAsia" w:ascii="宋体" w:hAnsi="宋体" w:cs="宋体"/>
          <w:b/>
          <w:bCs/>
          <w:sz w:val="24"/>
          <w:szCs w:val="24"/>
          <w:lang w:val="zh-CN"/>
        </w:rPr>
        <w:t>资购销廉洁条例》</w:t>
      </w:r>
    </w:p>
    <w:p w14:paraId="3BE748B2">
      <w:pPr>
        <w:spacing w:line="400" w:lineRule="exact"/>
        <w:jc w:val="center"/>
        <w:rPr>
          <w:b/>
          <w:bCs/>
          <w:sz w:val="40"/>
          <w:szCs w:val="44"/>
        </w:rPr>
      </w:pPr>
    </w:p>
    <w:p w14:paraId="32DCB865">
      <w:pPr>
        <w:spacing w:line="400" w:lineRule="exact"/>
        <w:jc w:val="center"/>
        <w:rPr>
          <w:b/>
          <w:bCs/>
          <w:sz w:val="40"/>
          <w:szCs w:val="44"/>
        </w:rPr>
      </w:pPr>
      <w:r>
        <w:rPr>
          <w:rFonts w:hint="eastAsia"/>
          <w:b/>
          <w:bCs/>
          <w:sz w:val="40"/>
          <w:szCs w:val="44"/>
        </w:rPr>
        <w:t>南京市疾病预防控制中心物资购销廉洁条例</w:t>
      </w:r>
    </w:p>
    <w:p w14:paraId="589ACB77">
      <w:pPr>
        <w:tabs>
          <w:tab w:val="left" w:pos="993"/>
        </w:tabs>
        <w:adjustRightInd w:val="0"/>
        <w:snapToGrid w:val="0"/>
        <w:spacing w:line="400" w:lineRule="exact"/>
        <w:ind w:firstLine="440" w:firstLineChars="200"/>
        <w:jc w:val="left"/>
        <w:rPr>
          <w:rFonts w:ascii="宋体" w:hAnsi="宋体"/>
          <w:sz w:val="22"/>
        </w:rPr>
      </w:pPr>
    </w:p>
    <w:p w14:paraId="457C66BA">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为进一步加强公共卫生行风建设，规范公共卫生机构购销行为，有效防范商业贿赂行为，营造公平交易、诚实守信的购销环境，甲方特制定本条例，以资公共卫生机构购销双方共同遵守：</w:t>
      </w:r>
    </w:p>
    <w:p w14:paraId="507DC6E2">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1.合同双方按照《中华人民共和国民法典》及购销廉洁条例约定购销设备和服务等行为。</w:t>
      </w:r>
    </w:p>
    <w:p w14:paraId="0443B9BA">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2.甲方应当严格执行采购和服务合同验收、入库制度，对采购产品及发票进行查验，不得违反有关规定合同外采购、违价采购或从非规定渠道采购。</w:t>
      </w:r>
    </w:p>
    <w:p w14:paraId="3538BE15">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14:paraId="5CE0F73B">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4.甲方严禁利用任何途径和方式，为乙方个人提供便利。</w:t>
      </w:r>
    </w:p>
    <w:p w14:paraId="3D7976D7">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5.乙方不得以回扣、宴请等方式影响甲方工作人员采购或使用产品的选择权，不得在为甲方人员提供旅游、超标准支付食宿费用。</w:t>
      </w:r>
    </w:p>
    <w:p w14:paraId="77D0D8DD">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6.乙方指定人员必须在工作时间到甲方指定地点联系商谈，不得借故到甲方相关领导、部门负责人及相关工作人员家中访谈并提供任何好处费等。</w:t>
      </w:r>
    </w:p>
    <w:p w14:paraId="221C906C">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7.乙方如违反本廉洁条例，一经发现，甲方有权立即终止购销合同，并向市卫生行政部门报告。</w:t>
      </w:r>
    </w:p>
    <w:p w14:paraId="3CDD35B5">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8.本廉洁条例为甲方产品和服务购销行为的廉洁准则，双方均需严格遵守。</w:t>
      </w:r>
    </w:p>
    <w:p w14:paraId="0D623C9F">
      <w:pPr>
        <w:spacing w:line="400" w:lineRule="exact"/>
        <w:ind w:firstLine="440" w:firstLineChars="200"/>
        <w:jc w:val="left"/>
        <w:rPr>
          <w:rFonts w:ascii="宋体" w:hAnsi="宋体"/>
          <w:sz w:val="22"/>
        </w:rPr>
      </w:pPr>
      <w:r>
        <w:rPr>
          <w:rFonts w:hint="eastAsia" w:ascii="宋体" w:hAnsi="宋体"/>
          <w:sz w:val="22"/>
        </w:rPr>
        <w:t>9.本条例由甲方负责解释。</w:t>
      </w:r>
    </w:p>
    <w:p w14:paraId="0CBC4767">
      <w:pPr>
        <w:spacing w:line="400" w:lineRule="exact"/>
        <w:ind w:left="1260" w:leftChars="600"/>
      </w:pPr>
    </w:p>
    <w:p w14:paraId="2E0BF144">
      <w:pPr>
        <w:spacing w:line="400" w:lineRule="exact"/>
      </w:pPr>
    </w:p>
    <w:p w14:paraId="1B33960C">
      <w:pPr>
        <w:spacing w:line="400" w:lineRule="exact"/>
      </w:pPr>
      <w:r>
        <w:rPr>
          <w:rFonts w:hint="eastAsia"/>
        </w:rPr>
        <w:t>甲方：南京市疾病预防控制中心          乙方：</w:t>
      </w:r>
    </w:p>
    <w:p w14:paraId="251003C2">
      <w:pPr>
        <w:spacing w:line="400" w:lineRule="exact"/>
      </w:pPr>
    </w:p>
    <w:p w14:paraId="726CE232">
      <w:pPr>
        <w:adjustRightInd w:val="0"/>
        <w:snapToGrid w:val="0"/>
        <w:spacing w:line="400" w:lineRule="exact"/>
      </w:pPr>
      <w:r>
        <w:rPr>
          <w:rFonts w:hint="eastAsia"/>
        </w:rPr>
        <w:t>代表：                                项目经理：</w:t>
      </w:r>
    </w:p>
    <w:p w14:paraId="562E8542">
      <w:pPr>
        <w:spacing w:line="400" w:lineRule="exact"/>
        <w:ind w:left="1260" w:leftChars="600"/>
      </w:pPr>
    </w:p>
    <w:p w14:paraId="51BB20CC">
      <w:pPr>
        <w:spacing w:line="400" w:lineRule="exact"/>
        <w:ind w:left="1260" w:leftChars="600" w:firstLine="3990" w:firstLineChars="1900"/>
      </w:pPr>
      <w:r>
        <w:rPr>
          <w:rFonts w:hint="eastAsia"/>
        </w:rPr>
        <w:t>20    年    月   日</w:t>
      </w:r>
    </w:p>
    <w:p w14:paraId="12E61A90">
      <w:pPr>
        <w:widowControl/>
        <w:spacing w:line="360" w:lineRule="auto"/>
        <w:jc w:val="left"/>
        <w:rPr>
          <w:b/>
          <w:bCs/>
        </w:rPr>
      </w:pPr>
    </w:p>
    <w:p w14:paraId="2095C1BC">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2726EB1F">
        <w:pPr>
          <w:pStyle w:val="14"/>
          <w:jc w:val="center"/>
        </w:pPr>
        <w:r>
          <w:fldChar w:fldCharType="begin"/>
        </w:r>
        <w:r>
          <w:instrText xml:space="preserve">PAGE   \* MERGEFORMAT</w:instrText>
        </w:r>
        <w:r>
          <w:fldChar w:fldCharType="separate"/>
        </w:r>
        <w:r>
          <w:rPr>
            <w:lang w:val="zh-CN"/>
          </w:rPr>
          <w:t>22</w:t>
        </w:r>
        <w:r>
          <w:rPr>
            <w:lang w:val="zh-CN"/>
          </w:rPr>
          <w:fldChar w:fldCharType="end"/>
        </w:r>
      </w:p>
    </w:sdtContent>
  </w:sdt>
  <w:p w14:paraId="1B16D796">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22E3C"/>
    <w:rsid w:val="000312DE"/>
    <w:rsid w:val="000440C8"/>
    <w:rsid w:val="000474D5"/>
    <w:rsid w:val="00055A7A"/>
    <w:rsid w:val="0005737B"/>
    <w:rsid w:val="000726D8"/>
    <w:rsid w:val="00091885"/>
    <w:rsid w:val="000A1467"/>
    <w:rsid w:val="000A6769"/>
    <w:rsid w:val="000A7235"/>
    <w:rsid w:val="000D3B95"/>
    <w:rsid w:val="000D5040"/>
    <w:rsid w:val="000D6508"/>
    <w:rsid w:val="000F211F"/>
    <w:rsid w:val="000F6F3C"/>
    <w:rsid w:val="00110BD8"/>
    <w:rsid w:val="0014221D"/>
    <w:rsid w:val="00151C8B"/>
    <w:rsid w:val="00167F1A"/>
    <w:rsid w:val="001835F8"/>
    <w:rsid w:val="001A0BD6"/>
    <w:rsid w:val="001A53F6"/>
    <w:rsid w:val="001E77CB"/>
    <w:rsid w:val="00226F79"/>
    <w:rsid w:val="002364BA"/>
    <w:rsid w:val="00244094"/>
    <w:rsid w:val="00246690"/>
    <w:rsid w:val="00272AB0"/>
    <w:rsid w:val="00273011"/>
    <w:rsid w:val="0028478E"/>
    <w:rsid w:val="002B31D9"/>
    <w:rsid w:val="002F4172"/>
    <w:rsid w:val="003015F8"/>
    <w:rsid w:val="00317BDE"/>
    <w:rsid w:val="003216EB"/>
    <w:rsid w:val="00322E12"/>
    <w:rsid w:val="00336566"/>
    <w:rsid w:val="0038670E"/>
    <w:rsid w:val="003D04C7"/>
    <w:rsid w:val="003D07F4"/>
    <w:rsid w:val="003D3453"/>
    <w:rsid w:val="003D692B"/>
    <w:rsid w:val="003D7C65"/>
    <w:rsid w:val="003F2C7E"/>
    <w:rsid w:val="0040170C"/>
    <w:rsid w:val="00430D5D"/>
    <w:rsid w:val="00445621"/>
    <w:rsid w:val="00461A98"/>
    <w:rsid w:val="004717DF"/>
    <w:rsid w:val="004721BD"/>
    <w:rsid w:val="0048056F"/>
    <w:rsid w:val="004B0417"/>
    <w:rsid w:val="004D1DA9"/>
    <w:rsid w:val="004D1EEE"/>
    <w:rsid w:val="004E58AB"/>
    <w:rsid w:val="004E5BC9"/>
    <w:rsid w:val="004E680B"/>
    <w:rsid w:val="004F0CA3"/>
    <w:rsid w:val="004F449A"/>
    <w:rsid w:val="00507221"/>
    <w:rsid w:val="0051643B"/>
    <w:rsid w:val="005320F5"/>
    <w:rsid w:val="00546E9E"/>
    <w:rsid w:val="00552395"/>
    <w:rsid w:val="00556FCF"/>
    <w:rsid w:val="00583718"/>
    <w:rsid w:val="005902A4"/>
    <w:rsid w:val="00591415"/>
    <w:rsid w:val="005B5C3A"/>
    <w:rsid w:val="005D6A7A"/>
    <w:rsid w:val="005E5A6E"/>
    <w:rsid w:val="006308C8"/>
    <w:rsid w:val="00685C71"/>
    <w:rsid w:val="006939FC"/>
    <w:rsid w:val="00696EFD"/>
    <w:rsid w:val="006A7F3B"/>
    <w:rsid w:val="006B7E2F"/>
    <w:rsid w:val="006D1B26"/>
    <w:rsid w:val="00700252"/>
    <w:rsid w:val="00705A27"/>
    <w:rsid w:val="007122E2"/>
    <w:rsid w:val="007160B3"/>
    <w:rsid w:val="007278B5"/>
    <w:rsid w:val="0073193D"/>
    <w:rsid w:val="0073253D"/>
    <w:rsid w:val="00743ADB"/>
    <w:rsid w:val="00762CB0"/>
    <w:rsid w:val="0077521B"/>
    <w:rsid w:val="0079663A"/>
    <w:rsid w:val="007977D1"/>
    <w:rsid w:val="007A6AD8"/>
    <w:rsid w:val="007E2D83"/>
    <w:rsid w:val="007E582A"/>
    <w:rsid w:val="007F2513"/>
    <w:rsid w:val="0080774A"/>
    <w:rsid w:val="008257DE"/>
    <w:rsid w:val="00834022"/>
    <w:rsid w:val="00852A78"/>
    <w:rsid w:val="008618E5"/>
    <w:rsid w:val="00862030"/>
    <w:rsid w:val="008724D7"/>
    <w:rsid w:val="00877C6E"/>
    <w:rsid w:val="00885F79"/>
    <w:rsid w:val="00887AE4"/>
    <w:rsid w:val="008974EE"/>
    <w:rsid w:val="008A1192"/>
    <w:rsid w:val="008A2FE7"/>
    <w:rsid w:val="008B615F"/>
    <w:rsid w:val="008D36C4"/>
    <w:rsid w:val="008D3DF7"/>
    <w:rsid w:val="008F496A"/>
    <w:rsid w:val="0090581E"/>
    <w:rsid w:val="00911476"/>
    <w:rsid w:val="00912B3B"/>
    <w:rsid w:val="00964AA3"/>
    <w:rsid w:val="00966F02"/>
    <w:rsid w:val="00970BC5"/>
    <w:rsid w:val="009843DE"/>
    <w:rsid w:val="009A15C7"/>
    <w:rsid w:val="009B0B70"/>
    <w:rsid w:val="009E1784"/>
    <w:rsid w:val="009E55F4"/>
    <w:rsid w:val="009F62D6"/>
    <w:rsid w:val="00A017DC"/>
    <w:rsid w:val="00A01BAB"/>
    <w:rsid w:val="00A20F62"/>
    <w:rsid w:val="00A24B74"/>
    <w:rsid w:val="00A30F31"/>
    <w:rsid w:val="00A3374C"/>
    <w:rsid w:val="00A34219"/>
    <w:rsid w:val="00A37937"/>
    <w:rsid w:val="00A471E2"/>
    <w:rsid w:val="00A968E6"/>
    <w:rsid w:val="00AA17F4"/>
    <w:rsid w:val="00AC12BD"/>
    <w:rsid w:val="00B05F6B"/>
    <w:rsid w:val="00B27BF5"/>
    <w:rsid w:val="00B4509D"/>
    <w:rsid w:val="00B51196"/>
    <w:rsid w:val="00B5406F"/>
    <w:rsid w:val="00B66227"/>
    <w:rsid w:val="00B669BB"/>
    <w:rsid w:val="00B765B4"/>
    <w:rsid w:val="00B905AE"/>
    <w:rsid w:val="00B91B68"/>
    <w:rsid w:val="00BB003F"/>
    <w:rsid w:val="00BB21A0"/>
    <w:rsid w:val="00BB2E3A"/>
    <w:rsid w:val="00BC2E33"/>
    <w:rsid w:val="00BC678D"/>
    <w:rsid w:val="00BE14F5"/>
    <w:rsid w:val="00BF5482"/>
    <w:rsid w:val="00C10219"/>
    <w:rsid w:val="00C17C51"/>
    <w:rsid w:val="00C22CF8"/>
    <w:rsid w:val="00C37A88"/>
    <w:rsid w:val="00C46695"/>
    <w:rsid w:val="00C5163C"/>
    <w:rsid w:val="00C52F06"/>
    <w:rsid w:val="00C61BBE"/>
    <w:rsid w:val="00C95981"/>
    <w:rsid w:val="00C95B1E"/>
    <w:rsid w:val="00CC4DAD"/>
    <w:rsid w:val="00CD66C8"/>
    <w:rsid w:val="00CF23B0"/>
    <w:rsid w:val="00D068A0"/>
    <w:rsid w:val="00D105A7"/>
    <w:rsid w:val="00D26832"/>
    <w:rsid w:val="00D91F5B"/>
    <w:rsid w:val="00DA544D"/>
    <w:rsid w:val="00DA7067"/>
    <w:rsid w:val="00DC09FA"/>
    <w:rsid w:val="00E15F46"/>
    <w:rsid w:val="00E27756"/>
    <w:rsid w:val="00E44CBB"/>
    <w:rsid w:val="00E457B7"/>
    <w:rsid w:val="00E54783"/>
    <w:rsid w:val="00E60525"/>
    <w:rsid w:val="00E702D6"/>
    <w:rsid w:val="00E71027"/>
    <w:rsid w:val="00E75E92"/>
    <w:rsid w:val="00EA11D1"/>
    <w:rsid w:val="00EA4DF1"/>
    <w:rsid w:val="00EC3B1A"/>
    <w:rsid w:val="00ED7C2A"/>
    <w:rsid w:val="00EE3266"/>
    <w:rsid w:val="00EE3405"/>
    <w:rsid w:val="00EE63E3"/>
    <w:rsid w:val="00EF1B88"/>
    <w:rsid w:val="00F0193C"/>
    <w:rsid w:val="00F02354"/>
    <w:rsid w:val="00F055AE"/>
    <w:rsid w:val="00F3480E"/>
    <w:rsid w:val="00F46B02"/>
    <w:rsid w:val="00F53A4B"/>
    <w:rsid w:val="00F64E0C"/>
    <w:rsid w:val="00F95DDD"/>
    <w:rsid w:val="00FA4CAA"/>
    <w:rsid w:val="00FC0FAF"/>
    <w:rsid w:val="00FC3502"/>
    <w:rsid w:val="00FE7B80"/>
    <w:rsid w:val="00FF63EC"/>
    <w:rsid w:val="062B47DA"/>
    <w:rsid w:val="066A3FC1"/>
    <w:rsid w:val="07AC7358"/>
    <w:rsid w:val="07F15700"/>
    <w:rsid w:val="07F742BB"/>
    <w:rsid w:val="07FC348A"/>
    <w:rsid w:val="087150EF"/>
    <w:rsid w:val="08A70543"/>
    <w:rsid w:val="0A0921A0"/>
    <w:rsid w:val="0D4A2F2A"/>
    <w:rsid w:val="0DFF656C"/>
    <w:rsid w:val="0F0D1B32"/>
    <w:rsid w:val="0F7A34CA"/>
    <w:rsid w:val="0FC02BD5"/>
    <w:rsid w:val="10E741A0"/>
    <w:rsid w:val="14595EB1"/>
    <w:rsid w:val="14CD2CB9"/>
    <w:rsid w:val="14EA72A0"/>
    <w:rsid w:val="15520A2B"/>
    <w:rsid w:val="161A3BAF"/>
    <w:rsid w:val="17E30238"/>
    <w:rsid w:val="196D4B78"/>
    <w:rsid w:val="19F60323"/>
    <w:rsid w:val="1C4A5E6A"/>
    <w:rsid w:val="1D942DAA"/>
    <w:rsid w:val="200A3A07"/>
    <w:rsid w:val="217A4BBD"/>
    <w:rsid w:val="217C6D52"/>
    <w:rsid w:val="2189E17A"/>
    <w:rsid w:val="25346D88"/>
    <w:rsid w:val="26AE115F"/>
    <w:rsid w:val="2748239B"/>
    <w:rsid w:val="2AD450BA"/>
    <w:rsid w:val="2FF64619"/>
    <w:rsid w:val="2FFEBFF0"/>
    <w:rsid w:val="333A41AC"/>
    <w:rsid w:val="35FA7719"/>
    <w:rsid w:val="39BFBEB0"/>
    <w:rsid w:val="39F72585"/>
    <w:rsid w:val="3A593ED2"/>
    <w:rsid w:val="3A5F274A"/>
    <w:rsid w:val="3C081CFC"/>
    <w:rsid w:val="3C3DACAF"/>
    <w:rsid w:val="3E281C07"/>
    <w:rsid w:val="3FD994FC"/>
    <w:rsid w:val="41B95998"/>
    <w:rsid w:val="43916C8F"/>
    <w:rsid w:val="442B0DE9"/>
    <w:rsid w:val="445D50E7"/>
    <w:rsid w:val="46D65850"/>
    <w:rsid w:val="46EF6D38"/>
    <w:rsid w:val="47D5195D"/>
    <w:rsid w:val="47ED3A8B"/>
    <w:rsid w:val="492D7B43"/>
    <w:rsid w:val="4A790AD4"/>
    <w:rsid w:val="4BFD2BF5"/>
    <w:rsid w:val="4D937083"/>
    <w:rsid w:val="4FFF5A31"/>
    <w:rsid w:val="50D128FB"/>
    <w:rsid w:val="51842EFD"/>
    <w:rsid w:val="53B77417"/>
    <w:rsid w:val="54CA015C"/>
    <w:rsid w:val="5770773F"/>
    <w:rsid w:val="584530CD"/>
    <w:rsid w:val="588C16BF"/>
    <w:rsid w:val="59815DE1"/>
    <w:rsid w:val="59D81B5C"/>
    <w:rsid w:val="5BB74ED6"/>
    <w:rsid w:val="5C6C712F"/>
    <w:rsid w:val="5DC51DE0"/>
    <w:rsid w:val="5E4B7185"/>
    <w:rsid w:val="5F6704D1"/>
    <w:rsid w:val="5FEAEC69"/>
    <w:rsid w:val="607864DA"/>
    <w:rsid w:val="618500DF"/>
    <w:rsid w:val="61A42FB4"/>
    <w:rsid w:val="69933A07"/>
    <w:rsid w:val="6A5D9906"/>
    <w:rsid w:val="6A7F6894"/>
    <w:rsid w:val="6B8A6D77"/>
    <w:rsid w:val="6C89702F"/>
    <w:rsid w:val="6E246DCA"/>
    <w:rsid w:val="6EF7FC94"/>
    <w:rsid w:val="6FBF67E7"/>
    <w:rsid w:val="6FF7760D"/>
    <w:rsid w:val="72FF06FF"/>
    <w:rsid w:val="73223D39"/>
    <w:rsid w:val="759E59FD"/>
    <w:rsid w:val="75FD24C5"/>
    <w:rsid w:val="761B064C"/>
    <w:rsid w:val="76BC4701"/>
    <w:rsid w:val="76F16B6A"/>
    <w:rsid w:val="7777C622"/>
    <w:rsid w:val="7797170D"/>
    <w:rsid w:val="77C4ADDE"/>
    <w:rsid w:val="7AED903C"/>
    <w:rsid w:val="7BB715BE"/>
    <w:rsid w:val="7CF4A7A7"/>
    <w:rsid w:val="7CF5DAB8"/>
    <w:rsid w:val="7DBD2FDC"/>
    <w:rsid w:val="7DED06FB"/>
    <w:rsid w:val="7E3B775F"/>
    <w:rsid w:val="7E99BFE7"/>
    <w:rsid w:val="7EFE33BC"/>
    <w:rsid w:val="7EFFD7F9"/>
    <w:rsid w:val="7F5FE183"/>
    <w:rsid w:val="7FBD008A"/>
    <w:rsid w:val="7FDFA5F4"/>
    <w:rsid w:val="7FF5FC16"/>
    <w:rsid w:val="7FFB8904"/>
    <w:rsid w:val="7FFBD55B"/>
    <w:rsid w:val="7FFF2002"/>
    <w:rsid w:val="8FEFE784"/>
    <w:rsid w:val="9FBF44DB"/>
    <w:rsid w:val="A72DB9AF"/>
    <w:rsid w:val="B3FF938B"/>
    <w:rsid w:val="B5A3387D"/>
    <w:rsid w:val="B8ABF4D0"/>
    <w:rsid w:val="B9BFD95A"/>
    <w:rsid w:val="D31F69B4"/>
    <w:rsid w:val="D3E7C750"/>
    <w:rsid w:val="DBF71CB4"/>
    <w:rsid w:val="DE7FA78C"/>
    <w:rsid w:val="EC6F4CB4"/>
    <w:rsid w:val="EFA7C74A"/>
    <w:rsid w:val="EFCD399E"/>
    <w:rsid w:val="EFFDA024"/>
    <w:rsid w:val="F5BEC30E"/>
    <w:rsid w:val="F6AA9299"/>
    <w:rsid w:val="F6D39E58"/>
    <w:rsid w:val="F7F97F1E"/>
    <w:rsid w:val="F7FF24E4"/>
    <w:rsid w:val="FB3F6B90"/>
    <w:rsid w:val="FC7FA609"/>
    <w:rsid w:val="FCCF0E74"/>
    <w:rsid w:val="FDF7EF3A"/>
    <w:rsid w:val="FEEEDA3C"/>
    <w:rsid w:val="FF6FF9FE"/>
    <w:rsid w:val="FF7773D8"/>
    <w:rsid w:val="FFB66A49"/>
    <w:rsid w:val="FFF76FC4"/>
    <w:rsid w:val="FFF7BA31"/>
    <w:rsid w:val="FFFBA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29"/>
    <w:unhideWhenUsed/>
    <w:qFormat/>
    <w:uiPriority w:val="99"/>
    <w:pPr>
      <w:jc w:val="left"/>
    </w:pPr>
  </w:style>
  <w:style w:type="paragraph" w:styleId="7">
    <w:name w:val="Body Text"/>
    <w:basedOn w:val="1"/>
    <w:unhideWhenUsed/>
    <w:qFormat/>
    <w:uiPriority w:val="99"/>
    <w:pPr>
      <w:spacing w:after="120"/>
    </w:pPr>
    <w:rPr>
      <w:kern w:val="0"/>
      <w:sz w:val="24"/>
    </w:rPr>
  </w:style>
  <w:style w:type="paragraph" w:styleId="8">
    <w:name w:val="Block Text"/>
    <w:basedOn w:val="1"/>
    <w:qFormat/>
    <w:uiPriority w:val="0"/>
    <w:pPr>
      <w:spacing w:line="360" w:lineRule="auto"/>
    </w:p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2"/>
    <w:qFormat/>
    <w:uiPriority w:val="9"/>
    <w:rPr>
      <w:rFonts w:ascii="Times New Roman" w:hAnsi="Times New Roman" w:eastAsia="宋体" w:cs="Times New Roman"/>
      <w:b/>
      <w:bCs/>
      <w:kern w:val="44"/>
      <w:sz w:val="44"/>
      <w:szCs w:val="44"/>
    </w:rPr>
  </w:style>
  <w:style w:type="character" w:customStyle="1" w:styleId="28">
    <w:name w:val="标题 2 字符"/>
    <w:basedOn w:val="23"/>
    <w:link w:val="3"/>
    <w:qFormat/>
    <w:uiPriority w:val="0"/>
    <w:rPr>
      <w:rFonts w:ascii="Arial" w:hAnsi="Arial" w:eastAsia="黑体" w:cs="Arial"/>
      <w:b/>
      <w:bCs/>
      <w:sz w:val="32"/>
      <w:szCs w:val="32"/>
    </w:rPr>
  </w:style>
  <w:style w:type="character" w:customStyle="1" w:styleId="29">
    <w:name w:val="批注文字 字符"/>
    <w:basedOn w:val="23"/>
    <w:link w:val="6"/>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table" w:customStyle="1" w:styleId="46">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34</Pages>
  <Words>18076</Words>
  <Characters>18525</Characters>
  <Lines>142</Lines>
  <Paragraphs>40</Paragraphs>
  <TotalTime>0</TotalTime>
  <ScaleCrop>false</ScaleCrop>
  <LinksUpToDate>false</LinksUpToDate>
  <CharactersWithSpaces>19260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2024-08-16T09:27:00Z</dcterms:created>
  <dc:creator>赵璧</dc:creator>
  <cp:lastModifiedBy>汪娜</cp:lastModifiedBy>
  <cp:lastPrinted>2021-09-03T06:56:00Z</cp:lastPrinted>
  <dcterms:modified xsi:type="dcterms:W3CDTF">2024-09-02T08:51:04Z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ACFFB66F81EDD51CB4513866B2BAB87A_43</vt:lpwstr>
  </property>
</Properties>
</file>