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spacing w:line="360" w:lineRule="auto"/>
        <w:ind w:firstLine="721" w:firstLineChars="200"/>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 xml:space="preserve">南京市疾控预防控制中心三孔抽滤器采购公告                                                                                                                                                                                                                                                                                                                                                                                                                                                                                                                                                                                                                                                                                                                                                                                                                                                                                                                                                                                                                                                                                                                                                                                                                                                                                                                                                                                                                                                                                                                                                                                                                                                                                                                                                                                                                                          </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rPr>
        <w:t xml:space="preserve">    南京市疾病预防控制中心就三孔抽滤器开展采购活动，本项目以符合要求，通过综合评定方法确认，详见评分标准附表。欢迎符合资格条件的供应商参加。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三孔抽滤器采购的潜在供应商应在</w:t>
      </w:r>
      <w:r>
        <w:rPr>
          <w:rFonts w:hint="eastAsia" w:ascii="仿宋" w:hAnsi="仿宋" w:eastAsia="仿宋"/>
          <w:sz w:val="24"/>
          <w:szCs w:val="28"/>
          <w:u w:val="single"/>
        </w:rPr>
        <w:t>南京市疾控中心官方网站</w:t>
      </w:r>
      <w:r>
        <w:rPr>
          <w:rFonts w:hint="eastAsia" w:ascii="仿宋" w:hAnsi="仿宋" w:eastAsia="仿宋"/>
          <w:sz w:val="24"/>
          <w:szCs w:val="28"/>
        </w:rPr>
        <w:t>获取采购文件，并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7</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17</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日9点00分（北京时间）前递交投标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28359002"/>
      <w:bookmarkStart w:id="3" w:name="_Toc28359079"/>
      <w:bookmarkStart w:id="4" w:name="_Toc35393621"/>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心三孔抽滤器</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采购预算：4.95万元</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w:t>
      </w:r>
    </w:p>
    <w:tbl>
      <w:tblPr>
        <w:tblStyle w:val="15"/>
        <w:tblW w:w="4839" w:type="pct"/>
        <w:tblInd w:w="0" w:type="dxa"/>
        <w:tblLayout w:type="autofit"/>
        <w:tblCellMar>
          <w:top w:w="0" w:type="dxa"/>
          <w:left w:w="108" w:type="dxa"/>
          <w:bottom w:w="0" w:type="dxa"/>
          <w:right w:w="108" w:type="dxa"/>
        </w:tblCellMar>
      </w:tblPr>
      <w:tblGrid>
        <w:gridCol w:w="2990"/>
        <w:gridCol w:w="1232"/>
        <w:gridCol w:w="3166"/>
        <w:gridCol w:w="2369"/>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color w:val="000000"/>
                <w:sz w:val="24"/>
                <w:szCs w:val="28"/>
              </w:rPr>
            </w:pPr>
            <w:r>
              <w:rPr>
                <w:rFonts w:hint="eastAsia" w:ascii="仿宋" w:hAnsi="仿宋" w:eastAsia="仿宋"/>
                <w:color w:val="000000"/>
                <w:sz w:val="24"/>
                <w:szCs w:val="28"/>
              </w:rPr>
              <w:t>预算单价（最高限价）元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总价(最高限价)元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sz w:val="24"/>
                <w:szCs w:val="28"/>
              </w:rPr>
              <w:t>三孔抽滤器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49500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49500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总价（元）</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49500</w:t>
            </w:r>
          </w:p>
        </w:tc>
      </w:tr>
    </w:tbl>
    <w:p>
      <w:pPr>
        <w:spacing w:line="360" w:lineRule="auto"/>
        <w:ind w:firstLine="480" w:firstLineChars="200"/>
        <w:rPr>
          <w:rFonts w:ascii="仿宋" w:hAnsi="仿宋" w:eastAsia="仿宋"/>
          <w:sz w:val="24"/>
          <w:szCs w:val="28"/>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28359003"/>
      <w:bookmarkStart w:id="8" w:name="_Toc35393622"/>
      <w:bookmarkStart w:id="9" w:name="_Toc28359080"/>
      <w:bookmarkStart w:id="10" w:name="_Toc35393791"/>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rPr>
      </w:pPr>
      <w:r>
        <w:rPr>
          <w:rFonts w:hint="eastAsia" w:ascii="仿宋" w:hAnsi="仿宋" w:eastAsia="仿宋"/>
          <w:sz w:val="24"/>
          <w:szCs w:val="28"/>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三、获取采购文件</w:t>
      </w:r>
    </w:p>
    <w:p>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pPr>
        <w:spacing w:line="360" w:lineRule="auto"/>
        <w:rPr>
          <w:rFonts w:eastAsia="仿宋"/>
          <w:sz w:val="24"/>
          <w:szCs w:val="28"/>
        </w:rPr>
      </w:pPr>
      <w:r>
        <w:rPr>
          <w:rFonts w:hint="eastAsia" w:ascii="Times New Roman" w:hAnsi="Times New Roman" w:eastAsia="仿宋"/>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rPr>
        <w:t>网络报名截止时间：2024 年</w:t>
      </w:r>
      <w:r>
        <w:rPr>
          <w:rFonts w:hint="eastAsia" w:eastAsia="仿宋"/>
          <w:sz w:val="24"/>
          <w:szCs w:val="28"/>
          <w:lang w:val="en-US" w:eastAsia="zh-CN"/>
        </w:rPr>
        <w:t>7</w:t>
      </w:r>
      <w:r>
        <w:rPr>
          <w:rFonts w:hint="eastAsia" w:eastAsia="仿宋"/>
          <w:sz w:val="24"/>
          <w:szCs w:val="28"/>
        </w:rPr>
        <w:t xml:space="preserve">  月 </w:t>
      </w:r>
      <w:r>
        <w:rPr>
          <w:rFonts w:hint="eastAsia" w:eastAsia="仿宋"/>
          <w:sz w:val="24"/>
          <w:szCs w:val="28"/>
          <w:lang w:val="en-US" w:eastAsia="zh-CN"/>
        </w:rPr>
        <w:t>16</w:t>
      </w:r>
      <w:r>
        <w:rPr>
          <w:rFonts w:hint="eastAsia" w:eastAsia="仿宋"/>
          <w:sz w:val="24"/>
          <w:szCs w:val="28"/>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rPr>
        <w:t>五、提交投标文件</w:t>
      </w:r>
      <w:bookmarkEnd w:id="11"/>
      <w:bookmarkEnd w:id="12"/>
      <w:r>
        <w:rPr>
          <w:rFonts w:hint="eastAsia" w:ascii="黑体" w:hAnsi="黑体" w:cs="宋体"/>
          <w:b w:val="0"/>
          <w:sz w:val="24"/>
          <w:szCs w:val="28"/>
        </w:rPr>
        <w:t>截止时间、开标时间和地点</w:t>
      </w:r>
      <w:bookmarkEnd w:id="13"/>
      <w:bookmarkEnd w:id="14"/>
      <w:bookmarkStart w:id="27" w:name="_GoBack"/>
      <w:bookmarkEnd w:id="27"/>
    </w:p>
    <w:p>
      <w:pPr>
        <w:spacing w:line="360" w:lineRule="auto"/>
        <w:rPr>
          <w:rFonts w:ascii="仿宋" w:hAnsi="仿宋" w:eastAsia="仿宋" w:cs="宋体"/>
          <w:sz w:val="24"/>
          <w:szCs w:val="28"/>
        </w:rPr>
      </w:pPr>
      <w:bookmarkStart w:id="15" w:name="_Toc35393794"/>
      <w:bookmarkStart w:id="16" w:name="_Toc2835908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7</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17</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上午8：30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7</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17</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上午9：00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4</w:t>
      </w:r>
      <w:r>
        <w:rPr>
          <w:rFonts w:ascii="仿宋" w:hAnsi="仿宋" w:eastAsia="仿宋" w:cs="宋体"/>
          <w:sz w:val="24"/>
          <w:szCs w:val="28"/>
        </w:rPr>
        <w:t>楼会议室（南京市紫竹林</w:t>
      </w:r>
      <w:r>
        <w:rPr>
          <w:rFonts w:hint="eastAsia" w:ascii="仿宋" w:hAnsi="仿宋" w:eastAsia="仿宋" w:cs="宋体"/>
          <w:sz w:val="24"/>
          <w:szCs w:val="28"/>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rPr>
        <w:t>采购</w:t>
      </w:r>
      <w:r>
        <w:rPr>
          <w:rFonts w:ascii="仿宋" w:hAnsi="仿宋" w:eastAsia="仿宋" w:cs="宋体"/>
          <w:sz w:val="24"/>
          <w:szCs w:val="28"/>
        </w:rPr>
        <w:t>方主持，</w:t>
      </w:r>
      <w:r>
        <w:rPr>
          <w:rFonts w:hint="eastAsia" w:ascii="仿宋" w:hAnsi="仿宋" w:eastAsia="仿宋" w:cs="宋体"/>
          <w:sz w:val="24"/>
          <w:szCs w:val="28"/>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七、其他补充事宜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28359085"/>
      <w:bookmarkStart w:id="22" w:name="_Toc35393796"/>
      <w:bookmarkStart w:id="23" w:name="_Toc35393627"/>
      <w:bookmarkStart w:id="24" w:name="_Toc28359008"/>
      <w:r>
        <w:rPr>
          <w:rFonts w:hint="eastAsia" w:ascii="黑体" w:hAnsi="黑体" w:cs="宋体"/>
          <w:b w:val="0"/>
          <w:sz w:val="24"/>
          <w:szCs w:val="28"/>
        </w:rPr>
        <w:t>八、对本次采购提出询问，请按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ascii="仿宋_GB2312" w:eastAsia="仿宋"/>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何科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rPr>
        <w:t xml:space="preserve">91 </w:t>
      </w:r>
    </w:p>
    <w:p>
      <w:pPr>
        <w:widowControl/>
        <w:jc w:val="center"/>
        <w:rPr>
          <w:rFonts w:ascii="华文中宋" w:hAnsi="华文中宋" w:eastAsia="华文中宋" w:cs="宋体"/>
          <w:b/>
          <w:kern w:val="0"/>
          <w:sz w:val="28"/>
          <w:szCs w:val="28"/>
        </w:rPr>
      </w:pPr>
    </w:p>
    <w:p>
      <w:pPr>
        <w:pStyle w:val="12"/>
        <w:rPr>
          <w:rFonts w:ascii="华文中宋" w:hAnsi="华文中宋" w:eastAsia="华文中宋" w:cs="宋体"/>
          <w:kern w:val="0"/>
          <w:sz w:val="28"/>
          <w:szCs w:val="28"/>
        </w:rPr>
      </w:pPr>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本次采购，以进入详细评审的各投标人评标价的最低值为A值，A值的价格分为满分，即3</w:t>
            </w:r>
            <w:r>
              <w:rPr>
                <w:rFonts w:hint="eastAsia" w:ascii="仿宋" w:hAnsi="仿宋" w:eastAsia="仿宋" w:cs="宋体"/>
                <w:sz w:val="24"/>
                <w:szCs w:val="28"/>
                <w:lang w:val="en-US" w:eastAsia="zh-CN"/>
              </w:rPr>
              <w:t>5</w:t>
            </w:r>
            <w:r>
              <w:rPr>
                <w:rFonts w:hint="eastAsia" w:ascii="仿宋" w:hAnsi="仿宋" w:eastAsia="仿宋" w:cs="宋体"/>
                <w:sz w:val="24"/>
                <w:szCs w:val="28"/>
              </w:rPr>
              <w:t>分。其他投标人的价格分统一按照以下公式计算：投标人评标价得分=（A／该投标人评标价）×3</w:t>
            </w:r>
            <w:r>
              <w:rPr>
                <w:rFonts w:hint="eastAsia" w:ascii="仿宋" w:hAnsi="仿宋" w:eastAsia="仿宋" w:cs="宋体"/>
                <w:sz w:val="24"/>
                <w:szCs w:val="28"/>
                <w:lang w:val="en-US" w:eastAsia="zh-CN"/>
              </w:rPr>
              <w:t>5</w:t>
            </w:r>
            <w:r>
              <w:rPr>
                <w:rFonts w:hint="eastAsia" w:ascii="仿宋" w:hAnsi="仿宋" w:eastAsia="仿宋" w:cs="宋体"/>
                <w:sz w:val="24"/>
                <w:szCs w:val="28"/>
              </w:rPr>
              <w:t>。</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w:t>
            </w:r>
          </w:p>
        </w:tc>
        <w:tc>
          <w:tcPr>
            <w:tcW w:w="708" w:type="dxa"/>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w:t>
            </w:r>
            <w:r>
              <w:rPr>
                <w:rFonts w:hint="eastAsia" w:ascii="仿宋" w:hAnsi="仿宋" w:eastAsia="仿宋" w:cs="宋体"/>
                <w:sz w:val="24"/>
                <w:szCs w:val="28"/>
              </w:rPr>
              <w:t>设备功能和</w:t>
            </w:r>
            <w:r>
              <w:rPr>
                <w:rFonts w:ascii="仿宋" w:hAnsi="仿宋" w:eastAsia="仿宋" w:cs="宋体"/>
                <w:sz w:val="24"/>
                <w:szCs w:val="28"/>
              </w:rPr>
              <w:t>技术参数全符合</w:t>
            </w:r>
            <w:r>
              <w:rPr>
                <w:rFonts w:hint="eastAsia" w:ascii="仿宋" w:hAnsi="仿宋" w:eastAsia="仿宋" w:cs="宋体"/>
                <w:sz w:val="24"/>
                <w:szCs w:val="28"/>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3</w:t>
            </w:r>
            <w:r>
              <w:rPr>
                <w:rFonts w:ascii="仿宋" w:hAnsi="仿宋" w:eastAsia="仿宋" w:cs="宋体"/>
                <w:sz w:val="24"/>
                <w:szCs w:val="28"/>
              </w:rPr>
              <w:t>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7</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（提供的证明材料加盖投标人公章）</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highlight w:val="none"/>
                <w:lang w:val="en-US" w:eastAsia="zh-CN"/>
              </w:rPr>
              <w:t>3</w:t>
            </w:r>
            <w:r>
              <w:rPr>
                <w:rFonts w:hint="eastAsia" w:ascii="仿宋" w:hAnsi="仿宋" w:eastAsia="仿宋" w:cs="宋体"/>
                <w:sz w:val="24"/>
                <w:szCs w:val="28"/>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投标人须提交本设备免费质保期的书面承诺书（免费质保期不少于2年），质保期满足采购文件要求的得3分，质保期超过采购文件规定的年限，每延长一年质保期加3分，本项满分9分。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9</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分；分布一般、备件不齐全、人员专业性，保障性一般得</w:t>
            </w:r>
            <w:r>
              <w:rPr>
                <w:rFonts w:hint="eastAsia" w:ascii="仿宋" w:hAnsi="仿宋" w:eastAsia="仿宋" w:cs="宋体"/>
                <w:sz w:val="24"/>
                <w:szCs w:val="28"/>
                <w:lang w:val="en-US" w:eastAsia="zh-CN"/>
              </w:rPr>
              <w:t>3</w:t>
            </w:r>
            <w:r>
              <w:rPr>
                <w:rFonts w:hint="eastAsia" w:ascii="仿宋" w:hAnsi="仿宋" w:eastAsia="仿宋" w:cs="宋体"/>
                <w:sz w:val="24"/>
                <w:szCs w:val="28"/>
              </w:rPr>
              <w:t>分；未提供的不得分。</w:t>
            </w:r>
          </w:p>
        </w:tc>
        <w:tc>
          <w:tcPr>
            <w:tcW w:w="708" w:type="dxa"/>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7</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4</w:t>
            </w:r>
            <w:r>
              <w:rPr>
                <w:rFonts w:hint="eastAsia" w:ascii="仿宋" w:hAnsi="仿宋" w:eastAsia="仿宋" w:cs="宋体"/>
                <w:sz w:val="24"/>
                <w:szCs w:val="28"/>
              </w:rPr>
              <w:t>；培训方案的完整性、培训内容的全面性一般得</w:t>
            </w:r>
            <w:r>
              <w:rPr>
                <w:rFonts w:hint="eastAsia" w:ascii="仿宋" w:hAnsi="仿宋" w:eastAsia="仿宋" w:cs="宋体"/>
                <w:sz w:val="24"/>
                <w:szCs w:val="28"/>
                <w:lang w:val="en-US" w:eastAsia="zh-CN"/>
              </w:rPr>
              <w:t>1</w:t>
            </w:r>
            <w:r>
              <w:rPr>
                <w:rFonts w:hint="eastAsia" w:ascii="仿宋" w:hAnsi="仿宋" w:eastAsia="仿宋" w:cs="宋体"/>
                <w:sz w:val="24"/>
                <w:szCs w:val="28"/>
              </w:rPr>
              <w:t>分；未提供的不得分。</w:t>
            </w:r>
          </w:p>
        </w:tc>
        <w:tc>
          <w:tcPr>
            <w:tcW w:w="708" w:type="dxa"/>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提供自2021年1月1日以来由制造商签订的含</w:t>
            </w:r>
            <w:r>
              <w:rPr>
                <w:rFonts w:hint="eastAsia" w:ascii="仿宋" w:hAnsi="仿宋" w:eastAsia="仿宋"/>
                <w:color w:val="000000"/>
                <w:sz w:val="24"/>
                <w:szCs w:val="28"/>
              </w:rPr>
              <w:t>所</w:t>
            </w:r>
            <w:r>
              <w:rPr>
                <w:rFonts w:hint="eastAsia" w:ascii="仿宋" w:hAnsi="仿宋" w:eastAsia="仿宋" w:cs="宋体"/>
                <w:sz w:val="24"/>
                <w:szCs w:val="28"/>
              </w:rPr>
              <w:t>投设备同规格型号的合同，每提供一个合同得2分，满分10分。投标文件中提供复印件加盖投标人公章，所提供的合同须清晰可见用户方的单位名称、项目名称、签订时间，以上信息不清晰不全面则此项不得分。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ind w:left="1260"/>
        <w:rPr>
          <w:rFonts w:ascii="仿宋" w:hAnsi="仿宋" w:eastAsia="仿宋" w:cs="宋体"/>
          <w:sz w:val="24"/>
          <w:szCs w:val="28"/>
        </w:rPr>
      </w:pPr>
    </w:p>
    <w:p>
      <w:pPr>
        <w:rPr>
          <w:rFonts w:ascii="仿宋" w:hAnsi="仿宋" w:eastAsia="仿宋" w:cs="宋体"/>
          <w:sz w:val="24"/>
          <w:szCs w:val="28"/>
        </w:rPr>
      </w:pPr>
    </w:p>
    <w:p>
      <w:pPr>
        <w:pStyle w:val="9"/>
        <w:ind w:left="1260"/>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rPr>
          <w:rFonts w:ascii="宋体" w:hAnsi="宋体"/>
          <w:b/>
          <w:sz w:val="36"/>
          <w:szCs w:val="36"/>
        </w:rPr>
      </w:pPr>
      <w:r>
        <w:rPr>
          <w:rFonts w:hint="eastAsia" w:ascii="仿宋" w:hAnsi="仿宋" w:eastAsia="仿宋" w:cs="宋体"/>
          <w:b/>
          <w:bCs/>
          <w:sz w:val="24"/>
          <w:szCs w:val="28"/>
        </w:rPr>
        <w:t>文件中所有设备配置要求为采购文件实质性要求不接受负偏离，要求投标商必须在响应文件中进行逐项应答否则按无效报价文件处理。</w:t>
      </w:r>
    </w:p>
    <w:p>
      <w:pPr>
        <w:pStyle w:val="19"/>
        <w:spacing w:line="360" w:lineRule="auto"/>
        <w:ind w:firstLine="0" w:firstLineChars="0"/>
        <w:rPr>
          <w:rFonts w:ascii="仿宋" w:hAnsi="仿宋" w:eastAsia="仿宋" w:cs="宋体"/>
          <w:b/>
          <w:bCs/>
          <w:sz w:val="24"/>
          <w:szCs w:val="28"/>
          <w:lang w:val="en-US"/>
        </w:rPr>
      </w:pPr>
      <w:r>
        <w:rPr>
          <w:rFonts w:hint="eastAsia" w:ascii="仿宋" w:hAnsi="仿宋" w:eastAsia="仿宋" w:cs="宋体"/>
          <w:b/>
          <w:bCs/>
          <w:sz w:val="24"/>
          <w:szCs w:val="28"/>
          <w:lang w:val="en-US"/>
        </w:rPr>
        <w:t>一、三孔抽滤器配置要求及技术参数：</w:t>
      </w:r>
    </w:p>
    <w:p>
      <w:pPr>
        <w:spacing w:line="360" w:lineRule="auto"/>
        <w:rPr>
          <w:rFonts w:ascii="仿宋" w:hAnsi="仿宋" w:eastAsia="仿宋" w:cs="宋体"/>
          <w:sz w:val="24"/>
          <w:szCs w:val="28"/>
        </w:rPr>
      </w:pPr>
      <w:r>
        <w:rPr>
          <w:rFonts w:hint="eastAsia" w:asciiTheme="minorEastAsia" w:hAnsiTheme="minorEastAsia" w:cstheme="minorEastAsia"/>
          <w:b/>
          <w:szCs w:val="21"/>
        </w:rPr>
        <w:t xml:space="preserve"> 配置要求：</w:t>
      </w:r>
      <w:r>
        <w:rPr>
          <w:rFonts w:hint="eastAsia" w:ascii="仿宋" w:hAnsi="仿宋" w:eastAsia="仿宋" w:cs="宋体"/>
          <w:sz w:val="24"/>
          <w:szCs w:val="28"/>
        </w:rPr>
        <w:t>三联不锈钢支架：1套；真空泵：1台；废液回收瓶：1个；一次性灭菌滤杯（300ml，含0.45μm 过滤膜，具有网格线）1盒（20个）。</w:t>
      </w:r>
    </w:p>
    <w:p>
      <w:pPr>
        <w:spacing w:line="360" w:lineRule="auto"/>
        <w:ind w:firstLine="211" w:firstLineChars="100"/>
        <w:rPr>
          <w:rFonts w:asciiTheme="minorEastAsia" w:hAnsiTheme="minorEastAsia" w:cstheme="minorEastAsia"/>
          <w:b/>
          <w:szCs w:val="21"/>
        </w:rPr>
      </w:pPr>
      <w:r>
        <w:rPr>
          <w:rFonts w:hint="eastAsia" w:asciiTheme="minorEastAsia" w:hAnsiTheme="minorEastAsia" w:cstheme="minorEastAsia"/>
          <w:b/>
          <w:szCs w:val="21"/>
        </w:rPr>
        <w:t>技术参数：</w:t>
      </w:r>
    </w:p>
    <w:p>
      <w:pPr>
        <w:numPr>
          <w:ilvl w:val="0"/>
          <w:numId w:val="3"/>
        </w:numPr>
        <w:spacing w:line="360" w:lineRule="auto"/>
        <w:rPr>
          <w:rFonts w:ascii="仿宋" w:hAnsi="仿宋" w:eastAsia="仿宋" w:cs="宋体"/>
          <w:sz w:val="24"/>
          <w:szCs w:val="28"/>
        </w:rPr>
      </w:pPr>
      <w:r>
        <w:rPr>
          <w:rFonts w:hint="eastAsia" w:ascii="仿宋" w:hAnsi="仿宋" w:eastAsia="仿宋"/>
          <w:sz w:val="24"/>
          <w:szCs w:val="28"/>
        </w:rPr>
        <w:t>三孔抽滤器</w:t>
      </w:r>
      <w:r>
        <w:rPr>
          <w:rFonts w:hint="eastAsia" w:ascii="仿宋" w:hAnsi="仿宋" w:eastAsia="仿宋" w:cs="宋体"/>
          <w:sz w:val="24"/>
          <w:szCs w:val="28"/>
        </w:rPr>
        <w:t>，一次可同时处理三个样品。</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 三联不锈钢支架的每个滤位与管道均使用316不锈钢材料制作，整体耐腐蚀能力强，能够使用酒精、火焰、蒸气及烤箱等方式灭菌；密封圈耐高温，耐酸碱；（提供产品彩页作为证明材料）</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 xml:space="preserve"> 三联不锈钢支架可放置于实验室压力蒸汽灭菌器中进行高压灭菌，过滤系统各组成部分可自由拆分，方便搬运与清洗；</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 三联不锈钢支架的每个滤座都可以单独控制；（提供产品彩页作为证明材料）</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 三联不锈钢支架搭配不同适配器可以与多种滤杯配套使用，配套滤杯种类包括但不限于：可重复高压蒸汽灭菌的塑料滤杯、电磁漏斗、多种规格的带滤膜的一次性灭菌滤杯，可灵活根据实验过滤需求进行各种过滤实验；（提供产品彩页作为证明材料）</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 三联不锈钢支架支持2个并联，在实验室条件下通过连接头可以将二台三联支架连接，变为一套六联支架；</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滤杯与支架为快速卡扣设计，可实现滤杯快速卡扣与摘取，严密无液体泄漏，在完成常规液体样本的抽滤操作后，滤膜可完整揭下不破裂、滤膜上无液体残留；</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真空泵采用隔膜真空泵，具有优异的耐化学腐蚀设计，与气体接触部分，为聚四氟乙烯(PTFE)材料，对化学腐蚀性气体、冷凝液有较好的耐受性。抽气腔和驱动部件所在的腔室为密封分离设计，确保机械部件的使用寿命；</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真空泵抽气流量可达25L/min, 真空度≤13 mbar；</w:t>
      </w:r>
    </w:p>
    <w:p>
      <w:pPr>
        <w:numPr>
          <w:ilvl w:val="0"/>
          <w:numId w:val="3"/>
        </w:numPr>
        <w:spacing w:line="360" w:lineRule="auto"/>
        <w:rPr>
          <w:rFonts w:ascii="仿宋" w:hAnsi="仿宋" w:eastAsia="仿宋" w:cs="宋体"/>
          <w:sz w:val="24"/>
          <w:szCs w:val="28"/>
        </w:rPr>
      </w:pPr>
      <w:r>
        <w:rPr>
          <w:rFonts w:hint="eastAsia" w:ascii="仿宋" w:hAnsi="仿宋" w:eastAsia="仿宋" w:cs="宋体"/>
          <w:sz w:val="24"/>
          <w:szCs w:val="28"/>
        </w:rPr>
        <w:t>废液回收瓶容积达到3L，采用PC聚碳酸酯材质，不易损坏，可高压蒸汽灭菌。同时具有防溢出设计。</w:t>
      </w:r>
    </w:p>
    <w:p>
      <w:pPr>
        <w:pStyle w:val="14"/>
        <w:spacing w:after="0" w:line="360" w:lineRule="auto"/>
        <w:ind w:left="0" w:leftChars="0" w:firstLine="0" w:firstLineChars="0"/>
        <w:jc w:val="left"/>
        <w:rPr>
          <w:rFonts w:ascii="仿宋" w:hAnsi="仿宋" w:eastAsia="仿宋" w:cs="宋体"/>
          <w:b/>
          <w:bCs/>
          <w:sz w:val="24"/>
          <w:szCs w:val="28"/>
        </w:rPr>
      </w:pPr>
    </w:p>
    <w:p>
      <w:pPr>
        <w:pStyle w:val="14"/>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二、商务条款部分要求：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10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若无要求可忽略此条</w:t>
      </w:r>
      <w:r>
        <w:rPr>
          <w:rFonts w:hint="eastAsia" w:ascii="仿宋" w:hAnsi="仿宋" w:eastAsia="仿宋"/>
          <w:sz w:val="24"/>
          <w:szCs w:val="28"/>
        </w:rPr>
        <w:t>）；</w:t>
      </w:r>
      <w:r>
        <w:rPr>
          <w:rFonts w:hint="eastAsia" w:ascii="仿宋" w:hAnsi="仿宋" w:eastAsia="仿宋" w:cs="宋体"/>
          <w:sz w:val="24"/>
          <w:szCs w:val="28"/>
        </w:rPr>
        <w:t>进口设备须提供设备的报关单、关税单、商检证明材料（加盖供应商公章）。</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240" w:firstLineChars="100"/>
        <w:rPr>
          <w:rFonts w:ascii="仿宋" w:hAnsi="仿宋" w:eastAsia="仿宋" w:cs="宋体"/>
          <w:b/>
          <w:bCs/>
          <w:sz w:val="24"/>
          <w:szCs w:val="28"/>
        </w:rPr>
      </w:pPr>
      <w:r>
        <w:rPr>
          <w:rFonts w:hint="eastAsia" w:ascii="仿宋" w:hAnsi="仿宋" w:eastAsia="仿宋" w:cs="宋体"/>
          <w:sz w:val="24"/>
          <w:szCs w:val="28"/>
        </w:rPr>
        <w:t>1、供应商报价时须承诺设备免费质保期不少于2年（自验收报告签字确认日起，开始进入质保期）。质保期内、外承诺货物均由原厂技术人员进行维护保养，且为保证产品质量投标人须提供生产厂商对本项目售后服务承诺书。</w:t>
      </w:r>
      <w:r>
        <w:rPr>
          <w:rFonts w:hint="eastAsia" w:ascii="仿宋" w:hAnsi="仿宋" w:eastAsia="仿宋" w:cs="宋体"/>
          <w:b/>
          <w:bCs/>
          <w:sz w:val="24"/>
          <w:szCs w:val="28"/>
        </w:rPr>
        <w:t>安装后30个工作日内，若在实验室常规使用过程中出现液体泄漏，抽滤操作后，存在滤膜破裂、滤膜上有液体残留等仪器质量问题承诺退货且废除合同。</w:t>
      </w:r>
    </w:p>
    <w:p>
      <w:pPr>
        <w:spacing w:line="360" w:lineRule="auto"/>
        <w:ind w:firstLine="240" w:firstLineChars="100"/>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4"/>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4"/>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9"/>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采购要求，正式授权下述签字人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我们的资格条件完全符合政府采购法和本次采购要求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按采购要求，我们的投标报价为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满足采购文件要求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4、我们已详细阅读全部采购文件及其有效补充文件，我们放弃对采购文件任何误解的权利，提交投标文件后，</w:t>
      </w:r>
      <w:r>
        <w:rPr>
          <w:rFonts w:hint="eastAsia" w:ascii="宋体" w:hAnsi="宋体"/>
          <w:b/>
          <w:bCs/>
          <w:kern w:val="0"/>
        </w:rPr>
        <w:t>不对采购文件本身提出质疑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7、一旦我方中标，我方将根据采购文件的规定严格履行合同，并保证于承诺的时间完成货物的启动/集成、调试等服务，交付采购人验收、使用。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5"/>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满足采购文件中</w:t>
            </w:r>
          </w:p>
          <w:p>
            <w:pPr>
              <w:pStyle w:val="20"/>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9"/>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9"/>
        <w:ind w:firstLine="420"/>
        <w:rPr>
          <w:rFonts w:ascii="宋体" w:hAnsi="宋体" w:cs="宋体"/>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20301EA0"/>
    <w:multiLevelType w:val="singleLevel"/>
    <w:tmpl w:val="20301EA0"/>
    <w:lvl w:ilvl="0" w:tentative="0">
      <w:start w:val="1"/>
      <w:numFmt w:val="decimal"/>
      <w:lvlText w:val="%1."/>
      <w:lvlJc w:val="left"/>
      <w:pPr>
        <w:ind w:left="425" w:hanging="425"/>
      </w:pPr>
      <w:rPr>
        <w:rFonts w:hint="default"/>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5B13691E"/>
    <w:rsid w:val="002D4284"/>
    <w:rsid w:val="005719DA"/>
    <w:rsid w:val="00700874"/>
    <w:rsid w:val="008633FD"/>
    <w:rsid w:val="00A92160"/>
    <w:rsid w:val="00E100A0"/>
    <w:rsid w:val="01F94195"/>
    <w:rsid w:val="06C53878"/>
    <w:rsid w:val="0D2C2368"/>
    <w:rsid w:val="10421257"/>
    <w:rsid w:val="12BB327A"/>
    <w:rsid w:val="1BE65AA2"/>
    <w:rsid w:val="1D7A52FE"/>
    <w:rsid w:val="28D136AD"/>
    <w:rsid w:val="2A427BAA"/>
    <w:rsid w:val="31A14F62"/>
    <w:rsid w:val="37C92E64"/>
    <w:rsid w:val="37FC4126"/>
    <w:rsid w:val="387D5266"/>
    <w:rsid w:val="3B477916"/>
    <w:rsid w:val="463F726A"/>
    <w:rsid w:val="468D39C0"/>
    <w:rsid w:val="51005F11"/>
    <w:rsid w:val="52B71D90"/>
    <w:rsid w:val="53673D6B"/>
    <w:rsid w:val="5B13691E"/>
    <w:rsid w:val="61690955"/>
    <w:rsid w:val="68336E40"/>
    <w:rsid w:val="72DF3FAB"/>
    <w:rsid w:val="7319235C"/>
    <w:rsid w:val="7B37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link w:val="21"/>
    <w:qFormat/>
    <w:uiPriority w:val="0"/>
    <w:pPr>
      <w:jc w:val="left"/>
    </w:pPr>
  </w:style>
  <w:style w:type="paragraph" w:styleId="6">
    <w:name w:val="Body Text"/>
    <w:basedOn w:val="1"/>
    <w:qFormat/>
    <w:uiPriority w:val="0"/>
    <w:pPr>
      <w:spacing w:line="500" w:lineRule="exac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index 4"/>
    <w:basedOn w:val="1"/>
    <w:next w:val="1"/>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caps/>
      <w:sz w:val="20"/>
    </w:rPr>
  </w:style>
  <w:style w:type="paragraph" w:styleId="13">
    <w:name w:val="Body Text First Indent"/>
    <w:basedOn w:val="6"/>
    <w:link w:val="22"/>
    <w:qFormat/>
    <w:uiPriority w:val="99"/>
    <w:pPr>
      <w:ind w:firstLine="420" w:firstLineChars="100"/>
    </w:pPr>
  </w:style>
  <w:style w:type="paragraph" w:styleId="14">
    <w:name w:val="Body Text First Indent 2"/>
    <w:basedOn w:val="7"/>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qFormat/>
    <w:uiPriority w:val="0"/>
    <w:rPr>
      <w:sz w:val="21"/>
      <w:szCs w:val="21"/>
    </w:rPr>
  </w:style>
  <w:style w:type="paragraph" w:customStyle="1" w:styleId="19">
    <w:name w:val="首行缩进"/>
    <w:basedOn w:val="1"/>
    <w:autoRedefine/>
    <w:qFormat/>
    <w:uiPriority w:val="0"/>
    <w:pPr>
      <w:ind w:firstLine="480" w:firstLineChars="200"/>
    </w:pPr>
    <w:rPr>
      <w:szCs w:val="20"/>
      <w:lang w:val="zh-CN"/>
    </w:rPr>
  </w:style>
  <w:style w:type="paragraph" w:styleId="20">
    <w:name w:val="List Paragraph"/>
    <w:basedOn w:val="1"/>
    <w:autoRedefine/>
    <w:qFormat/>
    <w:uiPriority w:val="34"/>
    <w:pPr>
      <w:ind w:firstLine="420" w:firstLineChars="200"/>
    </w:pPr>
  </w:style>
  <w:style w:type="character" w:customStyle="1" w:styleId="21">
    <w:name w:val="批注文字 Char"/>
    <w:basedOn w:val="17"/>
    <w:link w:val="5"/>
    <w:qFormat/>
    <w:uiPriority w:val="0"/>
    <w:rPr>
      <w:rFonts w:ascii="Calibri" w:hAnsi="Calibri" w:eastAsia="宋体" w:cs="Times New Roman"/>
      <w:kern w:val="2"/>
      <w:sz w:val="21"/>
      <w:szCs w:val="22"/>
    </w:rPr>
  </w:style>
  <w:style w:type="character" w:customStyle="1" w:styleId="22">
    <w:name w:val="正文首行缩进 Char"/>
    <w:basedOn w:val="17"/>
    <w:link w:val="13"/>
    <w:qFormat/>
    <w:uiPriority w:val="99"/>
    <w:rPr>
      <w:rFonts w:ascii="Calibri" w:hAnsi="Calibri" w:eastAsia="宋体" w:cs="Times New Roman"/>
      <w:kern w:val="2"/>
      <w:sz w:val="21"/>
      <w:szCs w:val="22"/>
    </w:rPr>
  </w:style>
  <w:style w:type="character" w:customStyle="1" w:styleId="23">
    <w:name w:val="页眉 Char"/>
    <w:basedOn w:val="17"/>
    <w:link w:val="11"/>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7295</Words>
  <Characters>7520</Characters>
  <Lines>72</Lines>
  <Paragraphs>20</Paragraphs>
  <TotalTime>80</TotalTime>
  <ScaleCrop>false</ScaleCrop>
  <LinksUpToDate>false</LinksUpToDate>
  <CharactersWithSpaces>9553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hp</cp:lastModifiedBy>
  <cp:lastPrinted>2024-07-02T02:58:00Z</cp:lastPrinted>
  <dcterms:modified xsi:type="dcterms:W3CDTF">2024-07-08T06:34:01Z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B791E437F3CD4FE88E63B818590C5EE3_13</vt:lpwstr>
  </property>
</Properties>
</file>