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40"/>
        </w:rPr>
      </w:pPr>
    </w:p>
    <w:p>
      <w:pPr>
        <w:spacing w:line="360" w:lineRule="auto"/>
        <w:jc w:val="center"/>
        <w:rPr>
          <w:rFonts w:ascii="华文中宋" w:hAnsi="华文中宋" w:eastAsia="华文中宋"/>
          <w:sz w:val="40"/>
        </w:rPr>
      </w:pPr>
      <w:r>
        <w:rPr>
          <w:rFonts w:ascii="华文中宋" w:hAnsi="华文中宋" w:eastAsia="华文中宋"/>
          <w:sz w:val="40"/>
        </w:rPr>
        <w:tab/>
      </w:r>
    </w:p>
    <w:p>
      <w:pPr>
        <w:pStyle w:val="10"/>
        <w:ind w:left="1260"/>
      </w:pPr>
    </w:p>
    <w:p/>
    <w:p/>
    <w:p>
      <w:pPr>
        <w:spacing w:line="360" w:lineRule="auto"/>
        <w:jc w:val="center"/>
        <w:rPr>
          <w:rFonts w:eastAsia="黑体"/>
          <w:b/>
          <w:bCs/>
          <w:sz w:val="52"/>
          <w:szCs w:val="36"/>
        </w:rPr>
      </w:pPr>
      <w:r>
        <w:rPr>
          <w:rFonts w:hint="eastAsia" w:eastAsia="黑体"/>
          <w:b/>
          <w:bCs/>
          <w:sz w:val="52"/>
          <w:szCs w:val="36"/>
        </w:rPr>
        <w:t>南京市疾控中心</w:t>
      </w:r>
    </w:p>
    <w:p>
      <w:pPr>
        <w:spacing w:line="360" w:lineRule="auto"/>
        <w:jc w:val="center"/>
        <w:rPr>
          <w:rFonts w:eastAsia="黑体"/>
          <w:b/>
          <w:bCs/>
          <w:sz w:val="52"/>
          <w:szCs w:val="36"/>
        </w:rPr>
      </w:pPr>
      <w:r>
        <w:rPr>
          <w:rFonts w:hint="eastAsia" w:eastAsia="黑体"/>
          <w:b/>
          <w:bCs/>
          <w:sz w:val="52"/>
          <w:szCs w:val="36"/>
          <w:lang w:eastAsia="zh-CN"/>
        </w:rPr>
        <w:t>2024</w:t>
      </w:r>
      <w:r>
        <w:rPr>
          <w:rFonts w:hint="eastAsia" w:eastAsia="黑体"/>
          <w:b/>
          <w:bCs/>
          <w:sz w:val="52"/>
          <w:szCs w:val="36"/>
        </w:rPr>
        <w:t>年度南京市基本公卫及家医签约服务知晓率和满意度评价服务</w:t>
      </w:r>
    </w:p>
    <w:p>
      <w:pPr>
        <w:spacing w:line="360" w:lineRule="auto"/>
        <w:jc w:val="center"/>
        <w:rPr>
          <w:rFonts w:eastAsia="黑体"/>
          <w:b/>
          <w:bCs/>
          <w:sz w:val="52"/>
          <w:szCs w:val="36"/>
        </w:rPr>
      </w:pPr>
    </w:p>
    <w:p>
      <w:pPr>
        <w:spacing w:line="360" w:lineRule="auto"/>
        <w:rPr>
          <w:sz w:val="24"/>
        </w:rPr>
      </w:pPr>
    </w:p>
    <w:p>
      <w:pPr>
        <w:spacing w:line="360" w:lineRule="auto"/>
        <w:jc w:val="center"/>
        <w:rPr>
          <w:sz w:val="24"/>
        </w:rPr>
      </w:pPr>
    </w:p>
    <w:p>
      <w:pPr>
        <w:pStyle w:val="9"/>
        <w:rPr>
          <w:sz w:val="24"/>
        </w:rPr>
      </w:pPr>
    </w:p>
    <w:p>
      <w:pPr>
        <w:pStyle w:val="9"/>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pPr>
        <w:spacing w:line="360" w:lineRule="auto"/>
        <w:jc w:val="center"/>
        <w:rPr>
          <w:sz w:val="36"/>
          <w:szCs w:val="36"/>
        </w:rPr>
      </w:pPr>
    </w:p>
    <w:p>
      <w:pPr>
        <w:spacing w:line="360" w:lineRule="auto"/>
        <w:jc w:val="center"/>
        <w:rPr>
          <w:sz w:val="36"/>
          <w:szCs w:val="36"/>
        </w:rPr>
      </w:pPr>
    </w:p>
    <w:p>
      <w:pPr>
        <w:spacing w:line="360" w:lineRule="auto"/>
        <w:rPr>
          <w:sz w:val="32"/>
          <w:szCs w:val="24"/>
        </w:rPr>
      </w:pPr>
    </w:p>
    <w:p>
      <w:pPr>
        <w:spacing w:line="360" w:lineRule="auto"/>
        <w:jc w:val="center"/>
        <w:rPr>
          <w:sz w:val="36"/>
          <w:szCs w:val="36"/>
        </w:rPr>
      </w:pPr>
      <w:r>
        <w:rPr>
          <w:rFonts w:hAnsiTheme="minorEastAsia"/>
          <w:sz w:val="36"/>
          <w:szCs w:val="36"/>
        </w:rPr>
        <w:t>南京市疾病预防控制中心</w:t>
      </w:r>
    </w:p>
    <w:p>
      <w:pPr>
        <w:spacing w:line="360" w:lineRule="auto"/>
        <w:jc w:val="center"/>
        <w:rPr>
          <w:rFonts w:hAnsiTheme="minorEastAsia"/>
          <w:sz w:val="36"/>
          <w:szCs w:val="36"/>
        </w:rPr>
      </w:pPr>
      <w:r>
        <w:rPr>
          <w:rFonts w:hint="eastAsia" w:hAnsiTheme="minorEastAsia"/>
          <w:sz w:val="36"/>
          <w:szCs w:val="36"/>
          <w:lang w:eastAsia="zh-CN"/>
        </w:rPr>
        <w:t>2024</w:t>
      </w:r>
      <w:r>
        <w:rPr>
          <w:rFonts w:hAnsiTheme="minorEastAsia"/>
          <w:sz w:val="36"/>
          <w:szCs w:val="36"/>
        </w:rPr>
        <w:t>年</w:t>
      </w:r>
      <w:r>
        <w:rPr>
          <w:rFonts w:hint="eastAsia" w:hAnsiTheme="minorEastAsia"/>
          <w:sz w:val="36"/>
          <w:szCs w:val="36"/>
          <w:lang w:val="en-US" w:eastAsia="zh-CN"/>
        </w:rPr>
        <w:t>5</w:t>
      </w:r>
      <w:r>
        <w:rPr>
          <w:rFonts w:hAnsiTheme="minorEastAsia"/>
          <w:sz w:val="36"/>
          <w:szCs w:val="36"/>
        </w:rPr>
        <w:t>月</w:t>
      </w:r>
      <w:r>
        <w:rPr>
          <w:rFonts w:hint="eastAsia" w:hAnsiTheme="minorEastAsia"/>
          <w:sz w:val="36"/>
          <w:szCs w:val="36"/>
          <w:lang w:val="en-US" w:eastAsia="zh-CN"/>
        </w:rPr>
        <w:t>20</w:t>
      </w:r>
      <w:r>
        <w:rPr>
          <w:rFonts w:hAnsiTheme="minorEastAsia"/>
          <w:sz w:val="36"/>
          <w:szCs w:val="36"/>
        </w:rPr>
        <w:t>日</w:t>
      </w:r>
    </w:p>
    <w:p>
      <w:pPr>
        <w:spacing w:line="520" w:lineRule="exact"/>
        <w:jc w:val="left"/>
        <w:rPr>
          <w:rFonts w:hAnsiTheme="minorEastAsia"/>
          <w:sz w:val="32"/>
          <w:szCs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eastAsia="zh-CN"/>
        </w:rPr>
        <w:t>2024</w:t>
      </w:r>
      <w:r>
        <w:rPr>
          <w:rFonts w:hint="eastAsia" w:ascii="仿宋" w:hAnsi="仿宋" w:eastAsia="仿宋"/>
          <w:sz w:val="24"/>
          <w:szCs w:val="28"/>
        </w:rPr>
        <w:t>年度南京市基本公卫及家医签约服务知晓率和满意度评价服务开展中心内部采购，本服务以符合要求，通过综合评定方法确认，详见评分标准附表。欢迎符合资格条件的供应商参加。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采购公告</w:t>
      </w:r>
      <w:bookmarkEnd w:id="0"/>
      <w:bookmarkEnd w:id="1"/>
    </w:p>
    <w:p>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服务概况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sz w:val="24"/>
          <w:szCs w:val="28"/>
          <w:lang w:eastAsia="zh-CN"/>
        </w:rPr>
        <w:t>2024</w:t>
      </w:r>
      <w:r>
        <w:rPr>
          <w:rFonts w:hint="eastAsia" w:ascii="仿宋" w:hAnsi="仿宋" w:eastAsia="仿宋"/>
          <w:sz w:val="24"/>
          <w:szCs w:val="28"/>
        </w:rPr>
        <w:t>年度南京市基本公卫及家医签约服务知晓率和满意度评价服务招标的潜在投标人应在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w:t>
      </w:r>
      <w:r>
        <w:rPr>
          <w:rFonts w:hint="eastAsia" w:ascii="仿宋" w:hAnsi="仿宋" w:eastAsia="仿宋"/>
          <w:sz w:val="24"/>
          <w:szCs w:val="28"/>
          <w:highlight w:val="none"/>
        </w:rPr>
        <w:t>并</w:t>
      </w:r>
      <w:r>
        <w:rPr>
          <w:rFonts w:hint="eastAsia" w:ascii="仿宋" w:hAnsi="仿宋" w:eastAsia="仿宋"/>
          <w:color w:val="000000" w:themeColor="text1"/>
          <w:sz w:val="24"/>
          <w:szCs w:val="28"/>
          <w:highlight w:val="none"/>
          <w14:textFill>
            <w14:solidFill>
              <w14:schemeClr w14:val="tx1"/>
            </w14:solidFill>
          </w14:textFill>
        </w:rPr>
        <w:t>于</w:t>
      </w:r>
      <w:r>
        <w:rPr>
          <w:rFonts w:hint="eastAsia" w:ascii="仿宋" w:hAnsi="仿宋" w:eastAsia="仿宋"/>
          <w:color w:val="000000" w:themeColor="text1"/>
          <w:sz w:val="24"/>
          <w:szCs w:val="28"/>
          <w:highlight w:val="none"/>
          <w:u w:val="single"/>
          <w:lang w:eastAsia="zh-CN"/>
          <w14:textFill>
            <w14:solidFill>
              <w14:schemeClr w14:val="tx1"/>
            </w14:solidFill>
          </w14:textFill>
        </w:rPr>
        <w:t>2024</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5</w:t>
      </w:r>
      <w:r>
        <w:rPr>
          <w:rFonts w:hint="eastAsia" w:ascii="仿宋" w:hAnsi="仿宋" w:eastAsia="仿宋"/>
          <w:bCs/>
          <w:color w:val="000000" w:themeColor="text1"/>
          <w:sz w:val="24"/>
          <w:szCs w:val="28"/>
          <w:highlight w:val="none"/>
          <w14:textFill>
            <w14:solidFill>
              <w14:schemeClr w14:val="tx1"/>
            </w14:solidFill>
          </w14:textFill>
        </w:rPr>
        <w:t>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28</w:t>
      </w:r>
      <w:r>
        <w:rPr>
          <w:rFonts w:hint="eastAsia" w:ascii="仿宋" w:hAnsi="仿宋" w:eastAsia="仿宋"/>
          <w:bCs/>
          <w:color w:val="000000" w:themeColor="text1"/>
          <w:sz w:val="24"/>
          <w:szCs w:val="28"/>
          <w:highlight w:val="none"/>
          <w14:textFill>
            <w14:solidFill>
              <w14:schemeClr w14:val="tx1"/>
            </w14:solidFill>
          </w14:textFill>
        </w:rPr>
        <w:t>日</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8"/>
          <w:highlight w:val="none"/>
          <w14:textFill>
            <w14:solidFill>
              <w14:schemeClr w14:val="tx1"/>
            </w14:solidFill>
          </w14:textFill>
        </w:rPr>
        <w:t>点</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4"/>
          <w:szCs w:val="28"/>
          <w:highlight w:val="none"/>
          <w14:textFill>
            <w14:solidFill>
              <w14:schemeClr w14:val="tx1"/>
            </w14:solidFill>
          </w14:textFill>
        </w:rPr>
        <w:t>分（北京时间）前递交投标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color w:val="000000" w:themeColor="text1"/>
          <w:sz w:val="24"/>
          <w:szCs w:val="28"/>
          <w:highlight w:val="none"/>
          <w14:textFill>
            <w14:solidFill>
              <w14:schemeClr w14:val="tx1"/>
            </w14:solidFill>
          </w14:textFill>
        </w:rPr>
        <w:t>。</w:t>
      </w:r>
    </w:p>
    <w:p>
      <w:pPr>
        <w:rPr>
          <w:color w:val="000000" w:themeColor="text1"/>
          <w:sz w:val="24"/>
          <w:szCs w:val="28"/>
          <w14:textFill>
            <w14:solidFill>
              <w14:schemeClr w14:val="tx1"/>
            </w14:solidFill>
          </w14:textFill>
        </w:rPr>
      </w:pPr>
    </w:p>
    <w:p>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28359079"/>
      <w:bookmarkStart w:id="3" w:name="_Toc35393621"/>
      <w:bookmarkStart w:id="4" w:name="_Toc28359002"/>
      <w:bookmarkStart w:id="5" w:name="_Toc35393790"/>
      <w:bookmarkStart w:id="6" w:name="_Hlk24379207"/>
      <w:r>
        <w:rPr>
          <w:rFonts w:hint="eastAsia" w:ascii="黑体" w:hAnsi="黑体" w:cs="宋体"/>
          <w:b w:val="0"/>
          <w:color w:val="000000" w:themeColor="text1"/>
          <w:sz w:val="24"/>
          <w:szCs w:val="28"/>
          <w14:textFill>
            <w14:solidFill>
              <w14:schemeClr w14:val="tx1"/>
            </w14:solidFill>
          </w14:textFill>
        </w:rPr>
        <w:t>一、服务基本情况</w:t>
      </w:r>
      <w:bookmarkEnd w:id="2"/>
      <w:bookmarkEnd w:id="3"/>
      <w:bookmarkEnd w:id="4"/>
      <w:bookmarkEnd w:id="5"/>
    </w:p>
    <w:p>
      <w:pPr>
        <w:spacing w:line="360" w:lineRule="auto"/>
        <w:ind w:firstLine="480" w:firstLineChars="200"/>
        <w:rPr>
          <w:rFonts w:hint="eastAsia" w:ascii="仿宋" w:hAnsi="仿宋" w:eastAsia="仿宋"/>
          <w:sz w:val="24"/>
          <w:szCs w:val="28"/>
          <w:u w:val="single"/>
          <w:lang w:eastAsia="zh-CN"/>
        </w:rPr>
      </w:pPr>
      <w:r>
        <w:rPr>
          <w:rFonts w:hint="eastAsia" w:ascii="仿宋" w:hAnsi="仿宋" w:eastAsia="仿宋"/>
          <w:sz w:val="24"/>
          <w:szCs w:val="28"/>
        </w:rPr>
        <w:t>服务名称：</w:t>
      </w:r>
      <w:bookmarkEnd w:id="6"/>
      <w:r>
        <w:rPr>
          <w:rFonts w:hint="eastAsia" w:ascii="仿宋" w:hAnsi="仿宋" w:eastAsia="仿宋"/>
          <w:sz w:val="24"/>
          <w:szCs w:val="28"/>
          <w:lang w:eastAsia="zh-CN"/>
        </w:rPr>
        <w:t>2024</w:t>
      </w:r>
      <w:r>
        <w:rPr>
          <w:rFonts w:hint="eastAsia" w:ascii="仿宋" w:hAnsi="仿宋" w:eastAsia="仿宋"/>
          <w:sz w:val="24"/>
          <w:szCs w:val="28"/>
        </w:rPr>
        <w:t>年度南京市基本公卫及家医签约服务知晓率和满意度评价服务</w:t>
      </w:r>
      <w:r>
        <w:rPr>
          <w:rFonts w:hint="eastAsia" w:ascii="仿宋" w:hAnsi="仿宋" w:eastAsia="仿宋"/>
          <w:sz w:val="24"/>
          <w:szCs w:val="28"/>
          <w:lang w:eastAsia="zh-CN"/>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采购预算：人民币12万元</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sz w:val="24"/>
          <w:szCs w:val="28"/>
          <w:lang w:eastAsia="zh-CN"/>
        </w:rPr>
      </w:pPr>
      <w:r>
        <w:rPr>
          <w:rFonts w:hint="eastAsia" w:ascii="仿宋" w:hAnsi="仿宋" w:eastAsia="仿宋" w:cs="Times New Roman"/>
          <w:sz w:val="24"/>
          <w:szCs w:val="28"/>
        </w:rPr>
        <w:t>采购需求：</w:t>
      </w:r>
      <w:r>
        <w:rPr>
          <w:rFonts w:hint="eastAsia" w:ascii="仿宋" w:hAnsi="仿宋" w:eastAsia="仿宋"/>
          <w:sz w:val="24"/>
          <w:szCs w:val="28"/>
        </w:rPr>
        <w:t>经过调查研究，获得当前我市居民对国家基本公共卫生服务项目</w:t>
      </w:r>
      <w:r>
        <w:rPr>
          <w:rFonts w:hint="eastAsia" w:ascii="仿宋" w:hAnsi="仿宋" w:eastAsia="仿宋"/>
          <w:b w:val="0"/>
          <w:bCs w:val="0"/>
          <w:sz w:val="24"/>
          <w:szCs w:val="28"/>
        </w:rPr>
        <w:t>及家医签约服务</w:t>
      </w:r>
      <w:r>
        <w:rPr>
          <w:rFonts w:hint="eastAsia" w:ascii="仿宋" w:hAnsi="仿宋" w:eastAsia="仿宋"/>
          <w:sz w:val="24"/>
          <w:szCs w:val="28"/>
        </w:rPr>
        <w:t>的知晓率、满意度现状数据，检验近年项目宣传和实施工作的成效，分析影响我市居民对项目知晓率和满意度的主要因素</w:t>
      </w:r>
      <w:r>
        <w:rPr>
          <w:rFonts w:hint="eastAsia" w:ascii="仿宋" w:hAnsi="仿宋" w:eastAsia="仿宋"/>
          <w:sz w:val="24"/>
          <w:szCs w:val="28"/>
          <w:lang w:eastAsia="zh-CN"/>
        </w:rPr>
        <w:t>；</w:t>
      </w:r>
    </w:p>
    <w:p>
      <w:pPr>
        <w:widowControl/>
        <w:spacing w:line="360" w:lineRule="auto"/>
        <w:ind w:firstLine="480" w:firstLineChars="200"/>
        <w:jc w:val="left"/>
        <w:rPr>
          <w:rFonts w:hint="eastAsia" w:eastAsia="仿宋"/>
          <w:lang w:eastAsia="zh-CN"/>
        </w:rPr>
      </w:pPr>
      <w:r>
        <w:rPr>
          <w:rFonts w:hint="eastAsia" w:ascii="仿宋" w:hAnsi="仿宋" w:eastAsia="仿宋" w:cs="仿宋"/>
          <w:sz w:val="24"/>
          <w:szCs w:val="24"/>
        </w:rPr>
        <w:t>合同履行期限：合同签订至</w:t>
      </w:r>
      <w:r>
        <w:rPr>
          <w:rFonts w:hint="eastAsia" w:ascii="仿宋" w:hAnsi="仿宋" w:eastAsia="仿宋" w:cs="仿宋"/>
          <w:sz w:val="24"/>
          <w:szCs w:val="24"/>
          <w:lang w:val="en-US" w:eastAsia="zh-CN"/>
        </w:rPr>
        <w:t>验收合格</w:t>
      </w:r>
      <w:r>
        <w:rPr>
          <w:rFonts w:hint="eastAsia" w:ascii="仿宋" w:hAnsi="仿宋" w:eastAsia="仿宋" w:cs="仿宋"/>
          <w:sz w:val="24"/>
          <w:szCs w:val="24"/>
          <w:lang w:eastAsia="zh-CN"/>
        </w:rPr>
        <w:t>。</w:t>
      </w:r>
    </w:p>
    <w:p>
      <w:pPr>
        <w:pStyle w:val="3"/>
        <w:spacing w:line="360" w:lineRule="auto"/>
        <w:rPr>
          <w:rFonts w:ascii="黑体" w:hAnsi="黑体" w:cs="宋体"/>
          <w:b w:val="0"/>
          <w:sz w:val="24"/>
          <w:szCs w:val="28"/>
        </w:rPr>
      </w:pPr>
      <w:bookmarkStart w:id="7" w:name="_Toc35393622"/>
      <w:bookmarkStart w:id="8" w:name="_Toc35393791"/>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bookmarkStart w:id="11" w:name="_Toc28359081"/>
      <w:bookmarkStart w:id="12" w:name="_Toc35393792"/>
      <w:bookmarkStart w:id="13" w:name="_Toc35393623"/>
      <w:bookmarkStart w:id="14" w:name="_Toc28359004"/>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w:t>
      </w:r>
      <w:r>
        <w:rPr>
          <w:rFonts w:hint="eastAsia" w:ascii="仿宋" w:hAnsi="仿宋" w:eastAsia="仿宋"/>
          <w:sz w:val="24"/>
          <w:szCs w:val="28"/>
          <w:highlight w:val="lightGray"/>
        </w:rPr>
        <w:t>202</w:t>
      </w:r>
      <w:r>
        <w:rPr>
          <w:rFonts w:hint="eastAsia" w:ascii="仿宋" w:hAnsi="仿宋" w:eastAsia="仿宋"/>
          <w:sz w:val="24"/>
          <w:szCs w:val="28"/>
          <w:highlight w:val="lightGray"/>
          <w:lang w:val="en-US" w:eastAsia="zh-CN"/>
        </w:rPr>
        <w:t>3</w:t>
      </w:r>
      <w:r>
        <w:rPr>
          <w:rFonts w:hint="eastAsia" w:ascii="仿宋" w:hAnsi="仿宋" w:eastAsia="仿宋"/>
          <w:sz w:val="24"/>
          <w:szCs w:val="28"/>
          <w:highlight w:val="lightGray"/>
        </w:rPr>
        <w:t>年度</w:t>
      </w:r>
      <w:r>
        <w:rPr>
          <w:rFonts w:hint="eastAsia" w:ascii="仿宋" w:hAnsi="仿宋" w:eastAsia="仿宋"/>
          <w:sz w:val="24"/>
          <w:szCs w:val="28"/>
        </w:rPr>
        <w:t>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05"/>
      <w:bookmarkStart w:id="16" w:name="_Toc28359082"/>
      <w:bookmarkStart w:id="17" w:name="_Toc35393793"/>
      <w:bookmarkStart w:id="18" w:name="_Toc35393624"/>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年5月27日17点00分，以邮件发送时间为准。确认报名参加中心采购的供应商，开标时未参加的，将纳入不诚信供应商名录中；未发送邮件且有意愿参加的供应商可于截止时间前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jc w:val="left"/>
        <w:rPr>
          <w:rFonts w:hint="eastAsia" w:eastAsia="仿宋"/>
          <w:sz w:val="24"/>
          <w:szCs w:val="28"/>
          <w:lang w:val="en-US" w:eastAsia="zh-CN"/>
        </w:rPr>
      </w:pPr>
      <w:bookmarkStart w:id="19" w:name="_Toc28359007"/>
      <w:bookmarkStart w:id="20" w:name="_Toc35393794"/>
      <w:bookmarkStart w:id="21" w:name="_Toc35393625"/>
      <w:bookmarkStart w:id="22" w:name="_Toc28359084"/>
      <w:r>
        <w:rPr>
          <w:rFonts w:hint="eastAsia" w:eastAsia="仿宋"/>
          <w:sz w:val="24"/>
          <w:szCs w:val="28"/>
          <w:lang w:val="en-US" w:eastAsia="zh-CN"/>
        </w:rPr>
        <w:t>递交响应文件时间：2024年5月28日9:00-9:30 ；</w:t>
      </w:r>
    </w:p>
    <w:p>
      <w:pPr>
        <w:spacing w:line="360" w:lineRule="auto"/>
        <w:jc w:val="left"/>
        <w:rPr>
          <w:rFonts w:hint="eastAsia" w:eastAsia="仿宋"/>
          <w:sz w:val="24"/>
          <w:szCs w:val="28"/>
          <w:lang w:val="en-US" w:eastAsia="zh-CN"/>
        </w:rPr>
      </w:pPr>
      <w:r>
        <w:rPr>
          <w:rFonts w:hint="eastAsia" w:eastAsia="仿宋"/>
          <w:sz w:val="24"/>
          <w:szCs w:val="28"/>
          <w:lang w:val="en-US" w:eastAsia="zh-CN"/>
        </w:rPr>
        <w:t>开标时间：2024年5月28日9:30；</w:t>
      </w:r>
    </w:p>
    <w:p>
      <w:pPr>
        <w:spacing w:line="360" w:lineRule="auto"/>
        <w:jc w:val="left"/>
        <w:rPr>
          <w:rFonts w:hint="eastAsia" w:eastAsia="仿宋"/>
          <w:sz w:val="24"/>
          <w:szCs w:val="28"/>
          <w:lang w:val="en-US" w:eastAsia="zh-CN"/>
        </w:rPr>
      </w:pPr>
      <w:r>
        <w:rPr>
          <w:rFonts w:hint="eastAsia" w:eastAsia="仿宋"/>
          <w:sz w:val="24"/>
          <w:szCs w:val="28"/>
          <w:lang w:val="en-US" w:eastAsia="zh-CN"/>
        </w:rPr>
        <w:t>开标地点：南京市疾病预防控制中心昆仑路院区2楼会议室（南京市玄武区昆仑路16号）。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pPr>
        <w:pStyle w:val="3"/>
        <w:spacing w:line="360" w:lineRule="auto"/>
        <w:rPr>
          <w:rFonts w:ascii="仿宋" w:hAnsi="仿宋" w:eastAsia="仿宋" w:cs="宋体"/>
          <w:b w:val="0"/>
          <w:bCs w:val="0"/>
          <w:sz w:val="24"/>
          <w:szCs w:val="28"/>
        </w:rPr>
      </w:pPr>
      <w:bookmarkStart w:id="25" w:name="_Toc28359085"/>
      <w:bookmarkStart w:id="26" w:name="_Toc35393796"/>
      <w:bookmarkStart w:id="27" w:name="_Toc35393627"/>
      <w:bookmarkStart w:id="28" w:name="_Toc28359008"/>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1.采购人信息：汪科     联系方式：8353</w:t>
      </w:r>
      <w:bookmarkStart w:id="29" w:name="_Toc28359086"/>
      <w:bookmarkStart w:id="30" w:name="_Toc28359009"/>
      <w:r>
        <w:rPr>
          <w:rFonts w:hint="eastAsia" w:ascii="仿宋" w:hAnsi="仿宋" w:eastAsia="仿宋" w:cs="宋体"/>
          <w:sz w:val="24"/>
          <w:szCs w:val="28"/>
        </w:rPr>
        <w:t>8375</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 xml:space="preserve">2.使用科室信息：王科   联系方式：83538410 </w:t>
      </w:r>
    </w:p>
    <w:bookmarkEnd w:id="29"/>
    <w:bookmarkEnd w:id="30"/>
    <w:p>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pPr>
        <w:rPr>
          <w:rFonts w:ascii="华文中宋" w:hAnsi="华文中宋" w:eastAsia="华文中宋"/>
          <w:b/>
          <w:bCs/>
          <w:kern w:val="44"/>
          <w:sz w:val="32"/>
          <w:szCs w:val="44"/>
        </w:rPr>
      </w:pPr>
      <w:r>
        <w:rPr>
          <w:rFonts w:ascii="华文中宋" w:hAnsi="华文中宋" w:eastAsia="华文中宋"/>
          <w:b/>
          <w:bCs/>
          <w:kern w:val="44"/>
          <w:sz w:val="32"/>
          <w:szCs w:val="44"/>
        </w:rPr>
        <w:br w:type="page"/>
      </w:r>
      <w:bookmarkStart w:id="32" w:name="_GoBack"/>
      <w:bookmarkEnd w:id="32"/>
    </w:p>
    <w:p>
      <w:pPr>
        <w:pStyle w:val="5"/>
      </w:pPr>
    </w:p>
    <w:p>
      <w:pPr>
        <w:pStyle w:val="2"/>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第二章    评审办法</w:t>
      </w:r>
    </w:p>
    <w:p>
      <w:pPr>
        <w:widowControl/>
        <w:jc w:val="center"/>
        <w:rPr>
          <w:rFonts w:ascii="仿宋" w:hAnsi="仿宋" w:eastAsia="仿宋" w:cs="宋体"/>
          <w:kern w:val="0"/>
          <w:sz w:val="24"/>
          <w:szCs w:val="28"/>
        </w:rPr>
      </w:pPr>
    </w:p>
    <w:p>
      <w:pPr>
        <w:numPr>
          <w:ilvl w:val="0"/>
          <w:numId w:val="2"/>
        </w:numPr>
        <w:rPr>
          <w:rFonts w:ascii="仿宋" w:hAnsi="仿宋" w:eastAsia="仿宋" w:cs="仿宋"/>
          <w:u w:val="single"/>
        </w:rPr>
      </w:pPr>
      <w:r>
        <w:rPr>
          <w:rFonts w:hint="eastAsia" w:ascii="仿宋" w:hAnsi="仿宋" w:eastAsia="仿宋" w:cs="仿宋"/>
          <w:u w:val="single"/>
        </w:rPr>
        <w:t>评分标准附表</w:t>
      </w:r>
    </w:p>
    <w:tbl>
      <w:tblPr>
        <w:tblStyle w:val="22"/>
        <w:tblW w:w="5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177"/>
        <w:gridCol w:w="616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0"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序号</w:t>
            </w:r>
          </w:p>
        </w:tc>
        <w:tc>
          <w:tcPr>
            <w:tcW w:w="662"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评审因素</w:t>
            </w:r>
          </w:p>
        </w:tc>
        <w:tc>
          <w:tcPr>
            <w:tcW w:w="3465"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评审细则</w:t>
            </w:r>
          </w:p>
        </w:tc>
        <w:tc>
          <w:tcPr>
            <w:tcW w:w="451"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20"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1</w:t>
            </w:r>
          </w:p>
        </w:tc>
        <w:tc>
          <w:tcPr>
            <w:tcW w:w="662"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价格</w:t>
            </w:r>
          </w:p>
        </w:tc>
        <w:tc>
          <w:tcPr>
            <w:tcW w:w="3465" w:type="pct"/>
            <w:vAlign w:val="center"/>
          </w:tcPr>
          <w:p>
            <w:pPr>
              <w:widowControl/>
              <w:adjustRightInd w:val="0"/>
              <w:snapToGrid w:val="0"/>
              <w:spacing w:line="360" w:lineRule="auto"/>
              <w:rPr>
                <w:rFonts w:ascii="仿宋" w:hAnsi="仿宋" w:eastAsia="仿宋" w:cs="仿宋"/>
                <w:color w:val="000000"/>
              </w:rPr>
            </w:pPr>
            <w:r>
              <w:rPr>
                <w:rFonts w:hint="eastAsia" w:ascii="仿宋" w:hAnsi="仿宋" w:eastAsia="仿宋" w:cs="仿宋"/>
                <w:color w:val="000000"/>
              </w:rPr>
              <w:t>采用低价优先法计算，即满足采购文件要求且投标价格最低的投标报价（总价）为评标基准价，其价格分为满分。其他供应商的价格分统一按照下列公式计算：投标报价得分=(评标基准价/投标报价)×20</w:t>
            </w:r>
          </w:p>
        </w:tc>
        <w:tc>
          <w:tcPr>
            <w:tcW w:w="451" w:type="pct"/>
            <w:vAlign w:val="center"/>
          </w:tcPr>
          <w:p>
            <w:pPr>
              <w:widowControl/>
              <w:adjustRightInd w:val="0"/>
              <w:snapToGrid w:val="0"/>
              <w:spacing w:line="360" w:lineRule="auto"/>
              <w:jc w:val="center"/>
              <w:rPr>
                <w:rFonts w:ascii="仿宋" w:hAnsi="仿宋" w:cs="仿宋"/>
                <w:color w:val="000000"/>
              </w:rPr>
            </w:pPr>
            <w:r>
              <w:rPr>
                <w:rFonts w:hint="eastAsia" w:ascii="仿宋" w:hAnsi="仿宋" w:eastAsia="仿宋" w:cs="仿宋"/>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420"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2.1</w:t>
            </w:r>
          </w:p>
        </w:tc>
        <w:tc>
          <w:tcPr>
            <w:tcW w:w="662"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rPr>
              <w:t>项目整体实施方案</w:t>
            </w:r>
          </w:p>
        </w:tc>
        <w:tc>
          <w:tcPr>
            <w:tcW w:w="3465" w:type="pct"/>
          </w:tcPr>
          <w:p>
            <w:pPr>
              <w:rPr>
                <w:rFonts w:ascii="仿宋" w:hAnsi="仿宋" w:eastAsia="仿宋" w:cs="仿宋"/>
              </w:rPr>
            </w:pPr>
            <w:r>
              <w:rPr>
                <w:rFonts w:hint="eastAsia" w:ascii="仿宋" w:hAnsi="仿宋" w:eastAsia="仿宋" w:cs="仿宋"/>
              </w:rPr>
              <w:t>（一）评分内容</w:t>
            </w:r>
          </w:p>
          <w:p>
            <w:pPr>
              <w:rPr>
                <w:rFonts w:ascii="仿宋" w:hAnsi="仿宋" w:eastAsia="仿宋" w:cs="仿宋"/>
              </w:rPr>
            </w:pPr>
            <w:r>
              <w:rPr>
                <w:rFonts w:hint="eastAsia" w:ascii="仿宋" w:hAnsi="仿宋" w:eastAsia="仿宋" w:cs="仿宋"/>
              </w:rPr>
              <w:t>供应商须结合本项目的建设背景、现状分析、业务需求、性能需求及必要性分析提供以下内容：工作措施；工作方法；工作手段；</w:t>
            </w:r>
          </w:p>
          <w:p>
            <w:pPr>
              <w:rPr>
                <w:rFonts w:ascii="仿宋" w:hAnsi="仿宋" w:eastAsia="仿宋" w:cs="仿宋"/>
              </w:rPr>
            </w:pPr>
            <w:r>
              <w:rPr>
                <w:rFonts w:hint="eastAsia" w:ascii="仿宋" w:hAnsi="仿宋" w:eastAsia="仿宋" w:cs="仿宋"/>
              </w:rPr>
              <w:t>工作流程等；</w:t>
            </w:r>
          </w:p>
          <w:p>
            <w:pPr>
              <w:rPr>
                <w:rFonts w:ascii="仿宋" w:hAnsi="仿宋" w:eastAsia="仿宋" w:cs="仿宋"/>
              </w:rPr>
            </w:pPr>
            <w:r>
              <w:rPr>
                <w:rFonts w:hint="eastAsia" w:ascii="仿宋" w:hAnsi="仿宋" w:eastAsia="仿宋" w:cs="仿宋"/>
              </w:rPr>
              <w:t>（二）评分依据</w:t>
            </w:r>
          </w:p>
          <w:p>
            <w:pPr>
              <w:rPr>
                <w:rFonts w:ascii="仿宋" w:hAnsi="仿宋" w:eastAsia="仿宋" w:cs="仿宋"/>
              </w:rPr>
            </w:pPr>
            <w:r>
              <w:rPr>
                <w:rFonts w:hint="eastAsia" w:ascii="仿宋" w:hAnsi="仿宋" w:eastAsia="仿宋" w:cs="仿宋"/>
                <w:lang w:val="en-US" w:eastAsia="zh-CN"/>
              </w:rPr>
              <w:t>评审小组根据：</w:t>
            </w:r>
            <w:r>
              <w:rPr>
                <w:rFonts w:hint="eastAsia" w:ascii="仿宋" w:hAnsi="仿宋" w:eastAsia="仿宋" w:cs="仿宋"/>
              </w:rPr>
              <w:t>项目整体实施方案</w:t>
            </w:r>
            <w:r>
              <w:rPr>
                <w:rFonts w:hint="eastAsia" w:ascii="仿宋" w:hAnsi="仿宋" w:eastAsia="仿宋" w:cs="仿宋"/>
                <w:lang w:val="en-US" w:eastAsia="zh-CN"/>
              </w:rPr>
              <w:t>是否</w:t>
            </w:r>
            <w:r>
              <w:rPr>
                <w:rFonts w:hint="eastAsia" w:ascii="仿宋" w:hAnsi="仿宋" w:eastAsia="仿宋" w:cs="仿宋"/>
              </w:rPr>
              <w:t>详细具体；项目整体实施方案</w:t>
            </w:r>
            <w:r>
              <w:rPr>
                <w:rFonts w:hint="eastAsia" w:ascii="仿宋" w:hAnsi="仿宋" w:eastAsia="仿宋" w:cs="仿宋"/>
                <w:lang w:val="en-US" w:eastAsia="zh-CN"/>
              </w:rPr>
              <w:t>是否</w:t>
            </w:r>
            <w:r>
              <w:rPr>
                <w:rFonts w:hint="eastAsia" w:ascii="仿宋" w:hAnsi="仿宋" w:eastAsia="仿宋" w:cs="仿宋"/>
              </w:rPr>
              <w:t>科学合理；项目实施组织方案、时间</w:t>
            </w:r>
            <w:r>
              <w:rPr>
                <w:rFonts w:hint="eastAsia" w:ascii="仿宋" w:hAnsi="仿宋" w:eastAsia="仿宋" w:cs="仿宋"/>
                <w:lang w:val="en-US" w:eastAsia="zh-CN"/>
              </w:rPr>
              <w:t>进度</w:t>
            </w:r>
            <w:r>
              <w:rPr>
                <w:rFonts w:hint="eastAsia" w:ascii="仿宋" w:hAnsi="仿宋" w:eastAsia="仿宋" w:cs="仿宋"/>
              </w:rPr>
              <w:t>及验收、项目专项服务小组人员配备</w:t>
            </w:r>
            <w:r>
              <w:rPr>
                <w:rFonts w:hint="eastAsia" w:ascii="仿宋" w:hAnsi="仿宋" w:eastAsia="仿宋" w:cs="仿宋"/>
                <w:lang w:val="en-US" w:eastAsia="zh-CN"/>
              </w:rPr>
              <w:t>是否</w:t>
            </w:r>
            <w:r>
              <w:rPr>
                <w:rFonts w:hint="eastAsia" w:ascii="仿宋" w:hAnsi="仿宋" w:eastAsia="仿宋" w:cs="仿宋"/>
              </w:rPr>
              <w:t>合理；项目实施组织方案可操作性</w:t>
            </w:r>
            <w:r>
              <w:rPr>
                <w:rFonts w:hint="eastAsia" w:ascii="仿宋" w:hAnsi="仿宋" w:eastAsia="仿宋" w:cs="仿宋"/>
                <w:lang w:val="en-US" w:eastAsia="zh-CN"/>
              </w:rPr>
              <w:t>等方面进行综合评价</w:t>
            </w:r>
            <w:r>
              <w:rPr>
                <w:rFonts w:hint="eastAsia" w:ascii="仿宋" w:hAnsi="仿宋" w:eastAsia="仿宋" w:cs="仿宋"/>
              </w:rPr>
              <w:t>。</w:t>
            </w:r>
          </w:p>
          <w:p>
            <w:p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项目整体实施方案内容针对性强，全面具体，且人员配备合理，可操作性强的得10分；</w:t>
            </w:r>
          </w:p>
          <w:p>
            <w:pPr>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项目整体实施方案内容针对性较强，全面具体，且人员配备较合理，可操作性较强的得7分；</w:t>
            </w:r>
          </w:p>
          <w:p>
            <w:pPr>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针对性一般，合理及可操作性一般的得</w:t>
            </w:r>
            <w:r>
              <w:rPr>
                <w:rFonts w:hint="eastAsia" w:ascii="仿宋" w:hAnsi="仿宋" w:eastAsia="仿宋" w:cs="仿宋"/>
                <w:lang w:val="en-US" w:eastAsia="zh-CN"/>
              </w:rPr>
              <w:t>4</w:t>
            </w:r>
            <w:r>
              <w:rPr>
                <w:rFonts w:hint="eastAsia" w:ascii="仿宋" w:hAnsi="仿宋" w:eastAsia="仿宋" w:cs="仿宋"/>
              </w:rPr>
              <w:t>分；</w:t>
            </w:r>
          </w:p>
          <w:p>
            <w:pPr>
              <w:widowControl/>
              <w:adjustRightInd w:val="0"/>
              <w:snapToGrid w:val="0"/>
              <w:spacing w:line="360" w:lineRule="auto"/>
              <w:rPr>
                <w:rFonts w:ascii="仿宋" w:hAnsi="仿宋" w:eastAsia="仿宋" w:cs="仿宋"/>
                <w:color w:val="000000"/>
              </w:rPr>
            </w:pPr>
            <w:r>
              <w:rPr>
                <w:rFonts w:hint="eastAsia" w:ascii="仿宋" w:hAnsi="仿宋" w:eastAsia="仿宋" w:cs="仿宋"/>
                <w:lang w:val="en-US" w:eastAsia="zh-CN"/>
              </w:rPr>
              <w:t>4、</w:t>
            </w:r>
            <w:r>
              <w:rPr>
                <w:rFonts w:hint="eastAsia" w:ascii="仿宋" w:hAnsi="仿宋" w:eastAsia="仿宋" w:cs="仿宋"/>
              </w:rPr>
              <w:t>项目整体实施方案内容不完整，无可操作性的不得分。</w:t>
            </w:r>
          </w:p>
        </w:tc>
        <w:tc>
          <w:tcPr>
            <w:tcW w:w="451"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0"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2.2</w:t>
            </w:r>
          </w:p>
        </w:tc>
        <w:tc>
          <w:tcPr>
            <w:tcW w:w="662"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rPr>
              <w:t>项目分析</w:t>
            </w:r>
            <w:r>
              <w:rPr>
                <w:rFonts w:hint="eastAsia" w:ascii="仿宋" w:hAnsi="仿宋" w:eastAsia="仿宋" w:cs="仿宋"/>
                <w:lang w:val="en-US" w:eastAsia="zh-CN"/>
              </w:rPr>
              <w:t>及</w:t>
            </w:r>
            <w:r>
              <w:rPr>
                <w:rFonts w:hint="eastAsia" w:ascii="仿宋" w:hAnsi="仿宋" w:eastAsia="仿宋" w:cs="仿宋"/>
                <w:color w:val="000000"/>
              </w:rPr>
              <w:t>功能设计</w:t>
            </w:r>
          </w:p>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 xml:space="preserve">     </w:t>
            </w:r>
          </w:p>
        </w:tc>
        <w:tc>
          <w:tcPr>
            <w:tcW w:w="3465" w:type="pct"/>
          </w:tcPr>
          <w:p>
            <w:pPr>
              <w:rPr>
                <w:rFonts w:ascii="仿宋" w:hAnsi="仿宋" w:eastAsia="仿宋" w:cs="仿宋"/>
              </w:rPr>
            </w:pPr>
            <w:r>
              <w:rPr>
                <w:rFonts w:hint="eastAsia" w:ascii="仿宋" w:hAnsi="仿宋" w:eastAsia="仿宋" w:cs="仿宋"/>
              </w:rPr>
              <w:t>（一）评分内容</w:t>
            </w:r>
          </w:p>
          <w:p>
            <w:pPr>
              <w:rPr>
                <w:rFonts w:ascii="仿宋" w:hAnsi="仿宋" w:eastAsia="仿宋" w:cs="仿宋"/>
              </w:rPr>
            </w:pPr>
            <w:r>
              <w:rPr>
                <w:rFonts w:hint="eastAsia" w:ascii="仿宋" w:hAnsi="仿宋" w:eastAsia="仿宋" w:cs="仿宋"/>
              </w:rPr>
              <w:t>供应商对项目中可能存在的重点、难点进行分析，并可提供相应的应对策略。</w:t>
            </w:r>
          </w:p>
          <w:p>
            <w:pPr>
              <w:rPr>
                <w:rFonts w:ascii="仿宋" w:hAnsi="仿宋" w:eastAsia="仿宋" w:cs="仿宋"/>
              </w:rPr>
            </w:pPr>
            <w:r>
              <w:rPr>
                <w:rFonts w:hint="eastAsia" w:ascii="仿宋" w:hAnsi="仿宋" w:eastAsia="仿宋" w:cs="仿宋"/>
              </w:rPr>
              <w:t>（二）评分依据</w:t>
            </w:r>
          </w:p>
          <w:p>
            <w:pPr>
              <w:rPr>
                <w:rFonts w:hint="eastAsia" w:ascii="仿宋" w:hAnsi="仿宋" w:eastAsia="仿宋" w:cs="仿宋"/>
              </w:rPr>
            </w:pPr>
            <w:r>
              <w:rPr>
                <w:rFonts w:hint="eastAsia" w:ascii="仿宋" w:hAnsi="仿宋" w:eastAsia="仿宋" w:cs="仿宋"/>
                <w:lang w:val="en-US" w:eastAsia="zh-CN"/>
              </w:rPr>
              <w:t>评审小组根据：项目</w:t>
            </w:r>
            <w:r>
              <w:rPr>
                <w:rFonts w:hint="eastAsia" w:ascii="仿宋" w:hAnsi="仿宋" w:eastAsia="仿宋" w:cs="仿宋"/>
              </w:rPr>
              <w:t>重点难点分析；应对措施；合理化建议</w:t>
            </w:r>
            <w:r>
              <w:rPr>
                <w:rFonts w:hint="eastAsia" w:ascii="仿宋" w:hAnsi="仿宋" w:eastAsia="仿宋" w:cs="仿宋"/>
                <w:lang w:val="en-US" w:eastAsia="zh-CN"/>
              </w:rPr>
              <w:t>等进行综合评价</w:t>
            </w:r>
            <w:r>
              <w:rPr>
                <w:rFonts w:hint="eastAsia" w:ascii="仿宋" w:hAnsi="仿宋" w:eastAsia="仿宋" w:cs="仿宋"/>
              </w:rPr>
              <w:t>。</w:t>
            </w:r>
          </w:p>
          <w:p>
            <w:p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项目重点难点及应对措施针对性强，全面具体，且科学合理可操作性强的得10分，</w:t>
            </w:r>
          </w:p>
          <w:p>
            <w:pPr>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项目重点难点及应对措施针对性较强，较全面具体，科学合理可操作性较好的得7分，</w:t>
            </w:r>
          </w:p>
          <w:p>
            <w:pPr>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针对性一般，合理及可操作性一般的得4分，</w:t>
            </w:r>
          </w:p>
          <w:p>
            <w:pPr>
              <w:widowControl/>
              <w:adjustRightInd w:val="0"/>
              <w:snapToGrid w:val="0"/>
              <w:spacing w:line="360" w:lineRule="auto"/>
              <w:rPr>
                <w:rFonts w:ascii="仿宋" w:hAnsi="仿宋" w:eastAsia="仿宋" w:cs="仿宋"/>
                <w:color w:val="000000"/>
              </w:rPr>
            </w:pPr>
            <w:r>
              <w:rPr>
                <w:rFonts w:hint="eastAsia" w:ascii="仿宋" w:hAnsi="仿宋" w:eastAsia="仿宋" w:cs="仿宋"/>
                <w:lang w:val="en-US" w:eastAsia="zh-CN"/>
              </w:rPr>
              <w:t>4、</w:t>
            </w:r>
            <w:r>
              <w:rPr>
                <w:rFonts w:hint="eastAsia" w:ascii="仿宋" w:hAnsi="仿宋" w:eastAsia="仿宋" w:cs="仿宋"/>
              </w:rPr>
              <w:t>总体规划无特点，质量保障措施较差，方案较差的不得分。</w:t>
            </w:r>
          </w:p>
        </w:tc>
        <w:tc>
          <w:tcPr>
            <w:tcW w:w="451"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420" w:type="pct"/>
            <w:vAlign w:val="center"/>
          </w:tcPr>
          <w:p>
            <w:pPr>
              <w:widowControl/>
              <w:adjustRightInd w:val="0"/>
              <w:snapToGrid w:val="0"/>
              <w:spacing w:line="360" w:lineRule="auto"/>
              <w:rPr>
                <w:rFonts w:ascii="仿宋" w:hAnsi="仿宋" w:eastAsia="仿宋" w:cs="仿宋"/>
                <w:color w:val="000000"/>
              </w:rPr>
            </w:pPr>
            <w:r>
              <w:rPr>
                <w:rFonts w:hint="eastAsia" w:ascii="仿宋" w:hAnsi="仿宋" w:eastAsia="仿宋" w:cs="仿宋"/>
                <w:color w:val="000000"/>
              </w:rPr>
              <w:t>2.3</w:t>
            </w:r>
          </w:p>
        </w:tc>
        <w:tc>
          <w:tcPr>
            <w:tcW w:w="662"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现场演示</w:t>
            </w:r>
          </w:p>
        </w:tc>
        <w:tc>
          <w:tcPr>
            <w:tcW w:w="3465" w:type="pct"/>
            <w:vAlign w:val="center"/>
          </w:tcPr>
          <w:p>
            <w:pPr>
              <w:rPr>
                <w:rFonts w:ascii="仿宋" w:hAnsi="仿宋" w:eastAsia="仿宋" w:cs="仿宋"/>
              </w:rPr>
            </w:pPr>
            <w:r>
              <w:rPr>
                <w:rFonts w:hint="eastAsia" w:ascii="仿宋" w:hAnsi="仿宋" w:eastAsia="仿宋" w:cs="仿宋"/>
              </w:rPr>
              <w:t>（一）评分内容</w:t>
            </w:r>
          </w:p>
          <w:p>
            <w:pPr>
              <w:rPr>
                <w:rFonts w:ascii="仿宋" w:hAnsi="仿宋" w:eastAsia="仿宋" w:cs="仿宋"/>
              </w:rPr>
            </w:pPr>
            <w:r>
              <w:rPr>
                <w:rFonts w:hint="eastAsia" w:ascii="仿宋" w:hAnsi="仿宋" w:eastAsia="仿宋" w:cs="仿宋"/>
              </w:rPr>
              <w:t>供应商按照“演示内容”中的详细演示要求进行系统演示。</w:t>
            </w:r>
          </w:p>
          <w:p>
            <w:pPr>
              <w:rPr>
                <w:rFonts w:hint="eastAsia" w:ascii="仿宋" w:hAnsi="仿宋" w:eastAsia="仿宋" w:cs="仿宋"/>
                <w:lang w:val="en-US" w:eastAsia="zh-CN"/>
              </w:rPr>
            </w:pPr>
            <w:r>
              <w:rPr>
                <w:rFonts w:hint="eastAsia" w:ascii="仿宋" w:hAnsi="仿宋" w:eastAsia="仿宋" w:cs="仿宋"/>
              </w:rPr>
              <w:t>演示</w:t>
            </w:r>
            <w:r>
              <w:rPr>
                <w:rFonts w:hint="eastAsia" w:ascii="仿宋" w:hAnsi="仿宋" w:eastAsia="仿宋" w:cs="仿宋"/>
                <w:lang w:val="en-US" w:eastAsia="zh-CN"/>
              </w:rPr>
              <w:t>以下五类情况电话拨打：</w:t>
            </w:r>
            <w:r>
              <w:rPr>
                <w:rFonts w:hint="eastAsia" w:ascii="仿宋" w:hAnsi="仿宋" w:eastAsia="仿宋" w:cs="仿宋"/>
              </w:rPr>
              <w:t>健康档案人群</w:t>
            </w:r>
            <w:r>
              <w:rPr>
                <w:rFonts w:hint="eastAsia" w:ascii="仿宋" w:hAnsi="仿宋" w:eastAsia="仿宋" w:cs="仿宋"/>
                <w:lang w:eastAsia="zh-CN"/>
              </w:rPr>
              <w:t>、</w:t>
            </w:r>
            <w:r>
              <w:rPr>
                <w:rFonts w:hint="eastAsia" w:ascii="仿宋" w:hAnsi="仿宋" w:eastAsia="仿宋" w:cs="仿宋"/>
              </w:rPr>
              <w:t>老年人人群</w:t>
            </w:r>
            <w:r>
              <w:rPr>
                <w:rFonts w:hint="eastAsia" w:ascii="仿宋" w:hAnsi="仿宋" w:eastAsia="仿宋" w:cs="仿宋"/>
                <w:lang w:eastAsia="zh-CN"/>
              </w:rPr>
              <w:t>、</w:t>
            </w:r>
            <w:r>
              <w:rPr>
                <w:rFonts w:hint="eastAsia" w:ascii="仿宋" w:hAnsi="仿宋" w:eastAsia="仿宋" w:cs="仿宋"/>
              </w:rPr>
              <w:t>高血压人群</w:t>
            </w:r>
            <w:r>
              <w:rPr>
                <w:rFonts w:hint="eastAsia" w:ascii="仿宋" w:hAnsi="仿宋" w:eastAsia="仿宋" w:cs="仿宋"/>
                <w:lang w:eastAsia="zh-CN"/>
              </w:rPr>
              <w:t>、</w:t>
            </w:r>
            <w:r>
              <w:rPr>
                <w:rFonts w:hint="eastAsia" w:ascii="仿宋" w:hAnsi="仿宋" w:eastAsia="仿宋" w:cs="仿宋"/>
              </w:rPr>
              <w:t>糖尿病人群</w:t>
            </w:r>
            <w:r>
              <w:rPr>
                <w:rFonts w:hint="eastAsia" w:ascii="仿宋" w:hAnsi="仿宋" w:eastAsia="仿宋" w:cs="仿宋"/>
                <w:lang w:eastAsia="zh-CN"/>
              </w:rPr>
              <w:t>、</w:t>
            </w:r>
            <w:r>
              <w:rPr>
                <w:rFonts w:hint="eastAsia" w:ascii="仿宋" w:hAnsi="仿宋" w:eastAsia="仿宋" w:cs="仿宋"/>
              </w:rPr>
              <w:t>通话录音详情查看</w:t>
            </w:r>
            <w:r>
              <w:rPr>
                <w:rFonts w:hint="eastAsia" w:ascii="仿宋" w:hAnsi="仿宋" w:eastAsia="仿宋" w:cs="仿宋"/>
                <w:lang w:val="en-US" w:eastAsia="zh-CN"/>
              </w:rPr>
              <w:t>等</w:t>
            </w:r>
          </w:p>
          <w:p>
            <w:pPr>
              <w:pStyle w:val="5"/>
              <w:ind w:firstLine="0" w:firstLineChars="0"/>
              <w:rPr>
                <w:rFonts w:ascii="仿宋" w:hAnsi="仿宋" w:eastAsia="仿宋" w:cs="仿宋"/>
              </w:rPr>
            </w:pPr>
            <w:r>
              <w:rPr>
                <w:rFonts w:hint="eastAsia" w:ascii="仿宋" w:hAnsi="仿宋" w:eastAsia="仿宋" w:cs="仿宋"/>
              </w:rPr>
              <w:t>（二）评分依据</w:t>
            </w:r>
          </w:p>
          <w:p>
            <w:pPr>
              <w:pStyle w:val="5"/>
              <w:ind w:firstLine="0" w:firstLineChars="0"/>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各供应商应按照采购公告规定的时间和地点参加系统演示，必须是在真实软件上进行操作，其它任何形式的演示（如PPT、视频、截图等）均不得分，现场演示时间不超过10分钟（演示期间评委将进行提问，并有权酌情延长时间）。</w:t>
            </w:r>
            <w:r>
              <w:rPr>
                <w:rFonts w:hint="eastAsia" w:ascii="仿宋" w:hAnsi="仿宋" w:eastAsia="仿宋" w:cs="仿宋"/>
                <w:lang w:val="en-US" w:eastAsia="zh-CN"/>
              </w:rPr>
              <w:t>2、</w:t>
            </w:r>
            <w:r>
              <w:rPr>
                <w:rFonts w:hint="eastAsia" w:ascii="仿宋" w:hAnsi="仿宋" w:eastAsia="仿宋" w:cs="仿宋"/>
              </w:rPr>
              <w:t>所有演示要求都满足的得</w:t>
            </w:r>
            <w:r>
              <w:rPr>
                <w:rFonts w:hint="eastAsia" w:ascii="仿宋" w:hAnsi="仿宋" w:eastAsia="仿宋" w:cs="仿宋"/>
                <w:lang w:val="en-US" w:eastAsia="zh-CN"/>
              </w:rPr>
              <w:t>10</w:t>
            </w:r>
            <w:r>
              <w:rPr>
                <w:rFonts w:hint="eastAsia" w:ascii="仿宋" w:hAnsi="仿宋" w:eastAsia="仿宋" w:cs="仿宋"/>
              </w:rPr>
              <w:t>分，一项不满足要求扣</w:t>
            </w:r>
            <w:r>
              <w:rPr>
                <w:rFonts w:hint="eastAsia" w:ascii="仿宋" w:hAnsi="仿宋" w:eastAsia="仿宋" w:cs="仿宋"/>
                <w:lang w:val="en-US" w:eastAsia="zh-CN"/>
              </w:rPr>
              <w:t>2</w:t>
            </w:r>
            <w:r>
              <w:rPr>
                <w:rFonts w:hint="eastAsia" w:ascii="仿宋" w:hAnsi="仿宋" w:eastAsia="仿宋" w:cs="仿宋"/>
              </w:rPr>
              <w:t>分，扣完为止。</w:t>
            </w:r>
          </w:p>
        </w:tc>
        <w:tc>
          <w:tcPr>
            <w:tcW w:w="451" w:type="pct"/>
            <w:vAlign w:val="center"/>
          </w:tcPr>
          <w:p>
            <w:pPr>
              <w:widowControl/>
              <w:adjustRightInd w:val="0"/>
              <w:snapToGrid w:val="0"/>
              <w:spacing w:line="36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color w:val="000000"/>
              </w:rPr>
              <w:t>3.1</w:t>
            </w:r>
          </w:p>
        </w:tc>
        <w:tc>
          <w:tcPr>
            <w:tcW w:w="662"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rPr>
              <w:t>售后服务情况</w:t>
            </w:r>
          </w:p>
        </w:tc>
        <w:tc>
          <w:tcPr>
            <w:tcW w:w="3465" w:type="pct"/>
            <w:vAlign w:val="center"/>
          </w:tcPr>
          <w:p>
            <w:pPr>
              <w:widowControl/>
              <w:rPr>
                <w:rFonts w:ascii="仿宋" w:hAnsi="仿宋" w:eastAsia="仿宋" w:cs="仿宋"/>
              </w:rPr>
            </w:pPr>
            <w:r>
              <w:rPr>
                <w:rFonts w:hint="eastAsia" w:ascii="仿宋" w:hAnsi="仿宋" w:eastAsia="仿宋" w:cs="仿宋"/>
              </w:rPr>
              <w:t>售后服务方案全面合理，服务流程及内容具体，响应时间迅速，服务人员齐备，得5分。</w:t>
            </w:r>
          </w:p>
          <w:p>
            <w:pPr>
              <w:widowControl/>
              <w:rPr>
                <w:rFonts w:ascii="仿宋" w:hAnsi="仿宋" w:eastAsia="仿宋" w:cs="仿宋"/>
              </w:rPr>
            </w:pPr>
            <w:r>
              <w:rPr>
                <w:rFonts w:hint="eastAsia" w:ascii="仿宋" w:hAnsi="仿宋" w:eastAsia="仿宋" w:cs="仿宋"/>
              </w:rPr>
              <w:t>售后服务方案较全面，有基本服务流程及内容、响应时间较为迅速、服务人员基本满足需求，得3分。</w:t>
            </w:r>
          </w:p>
          <w:p>
            <w:pPr>
              <w:widowControl/>
              <w:rPr>
                <w:rFonts w:ascii="仿宋" w:hAnsi="仿宋" w:eastAsia="仿宋" w:cs="仿宋"/>
                <w:color w:val="000000"/>
              </w:rPr>
            </w:pPr>
            <w:r>
              <w:rPr>
                <w:rFonts w:hint="eastAsia" w:ascii="仿宋" w:hAnsi="仿宋" w:eastAsia="仿宋" w:cs="仿宋"/>
              </w:rPr>
              <w:t>售后服务方案较片面，服务流程及内容空洞或欠缺，响应时间缓慢，服务人员欠缺，得0分。</w:t>
            </w:r>
          </w:p>
        </w:tc>
        <w:tc>
          <w:tcPr>
            <w:tcW w:w="451"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color w:val="000000"/>
              </w:rPr>
              <w:t>3.2</w:t>
            </w:r>
          </w:p>
        </w:tc>
        <w:tc>
          <w:tcPr>
            <w:tcW w:w="662" w:type="pct"/>
            <w:vAlign w:val="center"/>
          </w:tcPr>
          <w:p>
            <w:pPr>
              <w:widowControl/>
              <w:spacing w:line="360" w:lineRule="auto"/>
              <w:jc w:val="center"/>
              <w:rPr>
                <w:rFonts w:ascii="仿宋" w:hAnsi="仿宋" w:eastAsia="仿宋" w:cs="仿宋"/>
              </w:rPr>
            </w:pPr>
            <w:r>
              <w:rPr>
                <w:rFonts w:hint="eastAsia" w:ascii="仿宋" w:hAnsi="仿宋" w:eastAsia="仿宋" w:cs="仿宋"/>
                <w:snapToGrid w:val="0"/>
                <w:kern w:val="0"/>
              </w:rPr>
              <w:t>拟安排的项目团队成员情况</w:t>
            </w:r>
          </w:p>
        </w:tc>
        <w:tc>
          <w:tcPr>
            <w:tcW w:w="3465" w:type="pct"/>
            <w:vAlign w:val="center"/>
          </w:tcPr>
          <w:p>
            <w:pPr>
              <w:wordWrap w:val="0"/>
              <w:spacing w:after="60"/>
              <w:rPr>
                <w:rFonts w:ascii="仿宋" w:hAnsi="仿宋" w:eastAsia="仿宋" w:cs="仿宋"/>
              </w:rPr>
            </w:pPr>
            <w:r>
              <w:rPr>
                <w:rFonts w:hint="eastAsia" w:ascii="仿宋" w:hAnsi="仿宋" w:eastAsia="仿宋" w:cs="仿宋"/>
              </w:rPr>
              <w:t>（一）评分内容</w:t>
            </w:r>
          </w:p>
          <w:p>
            <w:pPr>
              <w:wordWrap w:val="0"/>
              <w:spacing w:after="60"/>
              <w:rPr>
                <w:rFonts w:ascii="仿宋" w:hAnsi="仿宋" w:eastAsia="仿宋" w:cs="仿宋"/>
              </w:rPr>
            </w:pPr>
            <w:r>
              <w:rPr>
                <w:rFonts w:hint="eastAsia" w:ascii="仿宋" w:hAnsi="仿宋" w:eastAsia="仿宋" w:cs="仿宋"/>
              </w:rPr>
              <w:t>拟安排的项目团队成员不少于5人（项目负责人除外），需为投标人正式员工，否则本项不得分。在此基础上，按以下标准评分：</w:t>
            </w:r>
          </w:p>
          <w:p>
            <w:pPr>
              <w:wordWrap w:val="0"/>
              <w:spacing w:after="60"/>
              <w:rPr>
                <w:rFonts w:ascii="仿宋" w:hAnsi="仿宋" w:eastAsia="仿宋" w:cs="仿宋"/>
              </w:rPr>
            </w:pPr>
            <w:r>
              <w:rPr>
                <w:rFonts w:hint="eastAsia" w:ascii="仿宋" w:hAnsi="仿宋" w:eastAsia="仿宋" w:cs="仿宋"/>
              </w:rPr>
              <w:t>（1）具有项目经理证书（PMP</w:t>
            </w:r>
            <w:r>
              <w:rPr>
                <w:rFonts w:hint="eastAsia"/>
              </w:rPr>
              <w:t>）</w:t>
            </w:r>
            <w:r>
              <w:rPr>
                <w:rFonts w:hint="eastAsia" w:ascii="仿宋" w:hAnsi="仿宋" w:eastAsia="仿宋" w:cs="仿宋"/>
              </w:rPr>
              <w:t>的，每提供一人得</w:t>
            </w:r>
            <w:r>
              <w:rPr>
                <w:rFonts w:hint="eastAsia" w:ascii="仿宋" w:hAnsi="仿宋" w:eastAsia="仿宋" w:cs="仿宋"/>
                <w:lang w:val="en-US" w:eastAsia="zh-CN"/>
              </w:rPr>
              <w:t>2</w:t>
            </w:r>
            <w:r>
              <w:rPr>
                <w:rFonts w:hint="eastAsia" w:ascii="仿宋" w:hAnsi="仿宋" w:eastAsia="仿宋" w:cs="仿宋"/>
              </w:rPr>
              <w:t>分，最高得</w:t>
            </w:r>
            <w:r>
              <w:rPr>
                <w:rFonts w:hint="eastAsia" w:ascii="仿宋" w:hAnsi="仿宋" w:eastAsia="仿宋" w:cs="仿宋"/>
                <w:lang w:val="en-US" w:eastAsia="zh-CN"/>
              </w:rPr>
              <w:t>4</w:t>
            </w:r>
            <w:r>
              <w:rPr>
                <w:rFonts w:hint="eastAsia" w:ascii="仿宋" w:hAnsi="仿宋" w:eastAsia="仿宋" w:cs="仿宋"/>
              </w:rPr>
              <w:t>分；</w:t>
            </w:r>
          </w:p>
          <w:p>
            <w:pPr>
              <w:wordWrap w:val="0"/>
              <w:spacing w:after="60"/>
              <w:rPr>
                <w:rFonts w:ascii="仿宋" w:hAnsi="仿宋" w:eastAsia="仿宋" w:cs="仿宋"/>
              </w:rPr>
            </w:pPr>
            <w:r>
              <w:rPr>
                <w:rFonts w:hint="eastAsia" w:ascii="仿宋" w:hAnsi="仿宋" w:eastAsia="仿宋" w:cs="仿宋"/>
              </w:rPr>
              <w:t>（2）具有“计算机科学与技术”专业或“电子信息工程”专业或“信息管理与信息系统”专业本科（或以上）学历，提供一人得</w:t>
            </w:r>
            <w:r>
              <w:rPr>
                <w:rFonts w:hint="eastAsia" w:ascii="仿宋" w:hAnsi="仿宋" w:eastAsia="仿宋" w:cs="仿宋"/>
                <w:lang w:val="en-US" w:eastAsia="zh-CN"/>
              </w:rPr>
              <w:t>2</w:t>
            </w:r>
            <w:r>
              <w:rPr>
                <w:rFonts w:hint="eastAsia" w:ascii="仿宋" w:hAnsi="仿宋" w:eastAsia="仿宋" w:cs="仿宋"/>
              </w:rPr>
              <w:t>分，最高得</w:t>
            </w:r>
            <w:r>
              <w:rPr>
                <w:rFonts w:hint="eastAsia" w:ascii="仿宋" w:hAnsi="仿宋" w:eastAsia="仿宋" w:cs="仿宋"/>
                <w:lang w:val="en-US" w:eastAsia="zh-CN"/>
              </w:rPr>
              <w:t>6</w:t>
            </w:r>
            <w:r>
              <w:rPr>
                <w:rFonts w:hint="eastAsia" w:ascii="仿宋" w:hAnsi="仿宋" w:eastAsia="仿宋" w:cs="仿宋"/>
              </w:rPr>
              <w:t>分；</w:t>
            </w:r>
          </w:p>
          <w:p>
            <w:pPr>
              <w:wordWrap w:val="0"/>
              <w:spacing w:after="60"/>
              <w:rPr>
                <w:rFonts w:ascii="仿宋" w:hAnsi="仿宋" w:eastAsia="仿宋" w:cs="仿宋"/>
              </w:rPr>
            </w:pPr>
            <w:r>
              <w:rPr>
                <w:rFonts w:hint="eastAsia" w:ascii="仿宋" w:hAnsi="仿宋" w:eastAsia="仿宋" w:cs="仿宋"/>
              </w:rPr>
              <w:t>（二）评分依据</w:t>
            </w:r>
          </w:p>
          <w:p>
            <w:pPr>
              <w:wordWrap w:val="0"/>
              <w:spacing w:after="60"/>
              <w:rPr>
                <w:rFonts w:ascii="仿宋" w:hAnsi="仿宋" w:eastAsia="仿宋" w:cs="仿宋"/>
                <w:color w:val="000000"/>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lang w:val="en-US" w:eastAsia="zh-CN"/>
              </w:rPr>
              <w:t>须</w:t>
            </w:r>
            <w:r>
              <w:rPr>
                <w:rFonts w:hint="eastAsia" w:ascii="仿宋" w:hAnsi="仿宋" w:eastAsia="仿宋" w:cs="仿宋"/>
              </w:rPr>
              <w:t>提供符合上述要求的相应证书；2</w:t>
            </w:r>
            <w:r>
              <w:rPr>
                <w:rFonts w:hint="eastAsia" w:ascii="仿宋" w:hAnsi="仿宋" w:eastAsia="仿宋" w:cs="仿宋"/>
                <w:lang w:eastAsia="zh-CN"/>
              </w:rPr>
              <w:t>、</w:t>
            </w:r>
            <w:r>
              <w:rPr>
                <w:rFonts w:hint="eastAsia" w:ascii="仿宋" w:hAnsi="仿宋" w:eastAsia="仿宋" w:cs="仿宋"/>
              </w:rPr>
              <w:t>须提供投标人为其缴纳的近</w:t>
            </w:r>
            <w:r>
              <w:rPr>
                <w:rFonts w:hint="eastAsia" w:ascii="仿宋" w:hAnsi="仿宋" w:eastAsia="仿宋" w:cs="仿宋"/>
                <w:lang w:val="en-US" w:eastAsia="zh-CN"/>
              </w:rPr>
              <w:t>1</w:t>
            </w:r>
            <w:r>
              <w:rPr>
                <w:rFonts w:hint="eastAsia" w:ascii="仿宋" w:hAnsi="仿宋" w:eastAsia="仿宋" w:cs="仿宋"/>
              </w:rPr>
              <w:t>个月由社保部门出具的社保证明,如供应商为新成立单位且成立时间不足一个月的，可提供加盖公章的情况说明。</w:t>
            </w:r>
          </w:p>
        </w:tc>
        <w:tc>
          <w:tcPr>
            <w:tcW w:w="451"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color w:val="000000"/>
              </w:rPr>
              <w:t>3.3</w:t>
            </w:r>
          </w:p>
        </w:tc>
        <w:tc>
          <w:tcPr>
            <w:tcW w:w="662" w:type="pct"/>
            <w:vAlign w:val="center"/>
          </w:tcPr>
          <w:p>
            <w:pPr>
              <w:widowControl/>
              <w:spacing w:line="360" w:lineRule="auto"/>
              <w:jc w:val="center"/>
              <w:rPr>
                <w:rFonts w:ascii="仿宋" w:hAnsi="仿宋" w:eastAsia="仿宋" w:cs="仿宋"/>
              </w:rPr>
            </w:pPr>
            <w:r>
              <w:rPr>
                <w:rFonts w:hint="eastAsia" w:ascii="仿宋" w:hAnsi="仿宋" w:eastAsia="仿宋" w:cs="仿宋"/>
              </w:rPr>
              <w:t>同类项目业绩</w:t>
            </w:r>
          </w:p>
        </w:tc>
        <w:tc>
          <w:tcPr>
            <w:tcW w:w="3465" w:type="pct"/>
            <w:vAlign w:val="center"/>
          </w:tcPr>
          <w:p>
            <w:pPr>
              <w:jc w:val="left"/>
              <w:rPr>
                <w:rFonts w:ascii="仿宋" w:hAnsi="仿宋" w:eastAsia="仿宋" w:cs="仿宋"/>
              </w:rPr>
            </w:pPr>
            <w:r>
              <w:rPr>
                <w:rFonts w:hint="eastAsia" w:ascii="仿宋" w:hAnsi="仿宋" w:eastAsia="仿宋" w:cs="仿宋"/>
              </w:rPr>
              <w:t>（一）评分内容</w:t>
            </w:r>
          </w:p>
          <w:p>
            <w:pPr>
              <w:jc w:val="left"/>
              <w:rPr>
                <w:rFonts w:ascii="仿宋" w:hAnsi="仿宋" w:eastAsia="仿宋" w:cs="仿宋"/>
              </w:rPr>
            </w:pPr>
            <w:r>
              <w:rPr>
                <w:rFonts w:hint="eastAsia" w:ascii="仿宋" w:hAnsi="仿宋" w:eastAsia="仿宋" w:cs="仿宋"/>
              </w:rPr>
              <w:t>供应商自2021年1月1日至本项目响应截止之日（以合同签订时间为准），具有语音技术服务项目业绩，每提供1个业绩得</w:t>
            </w:r>
            <w:r>
              <w:rPr>
                <w:rFonts w:hint="eastAsia" w:ascii="仿宋" w:hAnsi="仿宋" w:eastAsia="仿宋" w:cs="仿宋"/>
                <w:lang w:val="en-US" w:eastAsia="zh-CN"/>
              </w:rPr>
              <w:t>3</w:t>
            </w:r>
            <w:r>
              <w:rPr>
                <w:rFonts w:hint="eastAsia" w:ascii="仿宋" w:hAnsi="仿宋" w:eastAsia="仿宋" w:cs="仿宋"/>
              </w:rPr>
              <w:t>分，最高得</w:t>
            </w:r>
            <w:r>
              <w:rPr>
                <w:rFonts w:hint="eastAsia" w:ascii="仿宋" w:hAnsi="仿宋" w:eastAsia="仿宋" w:cs="仿宋"/>
                <w:lang w:val="en-US" w:eastAsia="zh-CN"/>
              </w:rPr>
              <w:t>15</w:t>
            </w:r>
            <w:r>
              <w:rPr>
                <w:rFonts w:hint="eastAsia" w:ascii="仿宋" w:hAnsi="仿宋" w:eastAsia="仿宋" w:cs="仿宋"/>
              </w:rPr>
              <w:t>分。未提供的不得分。</w:t>
            </w:r>
          </w:p>
          <w:p>
            <w:pPr>
              <w:jc w:val="left"/>
              <w:rPr>
                <w:rFonts w:ascii="仿宋" w:hAnsi="仿宋" w:eastAsia="仿宋" w:cs="仿宋"/>
              </w:rPr>
            </w:pPr>
            <w:r>
              <w:rPr>
                <w:rFonts w:hint="eastAsia" w:ascii="仿宋" w:hAnsi="仿宋" w:eastAsia="仿宋" w:cs="仿宋"/>
              </w:rPr>
              <w:t>（二）评分依据</w:t>
            </w:r>
          </w:p>
          <w:p>
            <w:pPr>
              <w:jc w:val="left"/>
              <w:rPr>
                <w:rFonts w:ascii="仿宋" w:hAnsi="仿宋" w:eastAsia="仿宋" w:cs="仿宋"/>
                <w:color w:val="000000"/>
              </w:rPr>
            </w:pPr>
            <w:r>
              <w:rPr>
                <w:rFonts w:hint="eastAsia" w:ascii="仿宋" w:hAnsi="仿宋" w:eastAsia="仿宋" w:cs="仿宋"/>
              </w:rPr>
              <w:t>1、提供合同</w:t>
            </w:r>
            <w:r>
              <w:rPr>
                <w:rFonts w:hint="eastAsia" w:ascii="仿宋" w:hAnsi="仿宋" w:eastAsia="仿宋" w:cs="仿宋"/>
                <w:lang w:val="en-US" w:eastAsia="zh-CN"/>
              </w:rPr>
              <w:t>复印件</w:t>
            </w:r>
            <w:r>
              <w:rPr>
                <w:rFonts w:hint="eastAsia" w:ascii="仿宋" w:hAnsi="仿宋" w:eastAsia="仿宋" w:cs="仿宋"/>
              </w:rPr>
              <w:t>并加盖投标人公章（合同</w:t>
            </w:r>
            <w:r>
              <w:rPr>
                <w:rFonts w:hint="eastAsia" w:ascii="仿宋" w:hAnsi="仿宋" w:eastAsia="仿宋" w:cs="仿宋"/>
                <w:lang w:val="en-US" w:eastAsia="zh-CN"/>
              </w:rPr>
              <w:t>至少包括</w:t>
            </w:r>
            <w:r>
              <w:rPr>
                <w:rFonts w:hint="eastAsia" w:ascii="仿宋" w:hAnsi="仿宋" w:eastAsia="仿宋" w:cs="仿宋"/>
              </w:rPr>
              <w:t>项目名称、服务内容、合同服务的起止时间、签订日期）；2、一年一签的长期服务续签合同只计算一个业绩；</w:t>
            </w:r>
          </w:p>
        </w:tc>
        <w:tc>
          <w:tcPr>
            <w:tcW w:w="451" w:type="pct"/>
            <w:vAlign w:val="center"/>
          </w:tcPr>
          <w:p>
            <w:pPr>
              <w:widowControl/>
              <w:spacing w:line="36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color w:val="000000"/>
              </w:rPr>
              <w:t>3.4</w:t>
            </w:r>
          </w:p>
        </w:tc>
        <w:tc>
          <w:tcPr>
            <w:tcW w:w="662" w:type="pct"/>
            <w:vAlign w:val="center"/>
          </w:tcPr>
          <w:p>
            <w:pPr>
              <w:widowControl/>
              <w:spacing w:line="360" w:lineRule="auto"/>
              <w:jc w:val="center"/>
              <w:rPr>
                <w:rFonts w:ascii="仿宋" w:hAnsi="仿宋" w:eastAsia="仿宋" w:cs="仿宋"/>
              </w:rPr>
            </w:pPr>
            <w:r>
              <w:rPr>
                <w:rFonts w:hint="eastAsia" w:ascii="仿宋" w:hAnsi="仿宋" w:eastAsia="仿宋" w:cs="仿宋"/>
              </w:rPr>
              <w:t>履约能力</w:t>
            </w:r>
          </w:p>
        </w:tc>
        <w:tc>
          <w:tcPr>
            <w:tcW w:w="3465" w:type="pct"/>
            <w:vAlign w:val="center"/>
          </w:tcPr>
          <w:p>
            <w:pPr>
              <w:jc w:val="left"/>
              <w:rPr>
                <w:rFonts w:ascii="仿宋" w:hAnsi="仿宋" w:eastAsia="仿宋" w:cs="仿宋"/>
              </w:rPr>
            </w:pPr>
            <w:r>
              <w:rPr>
                <w:rFonts w:hint="eastAsia" w:ascii="仿宋" w:hAnsi="仿宋" w:eastAsia="仿宋" w:cs="仿宋"/>
              </w:rPr>
              <w:t>（一）评分内容</w:t>
            </w:r>
          </w:p>
          <w:p>
            <w:pPr>
              <w:jc w:val="left"/>
              <w:rPr>
                <w:rFonts w:hint="eastAsia" w:ascii="仿宋" w:hAnsi="仿宋" w:eastAsia="仿宋" w:cs="仿宋"/>
                <w:lang w:val="en-US" w:eastAsia="zh-CN"/>
              </w:rPr>
            </w:pPr>
            <w:r>
              <w:rPr>
                <w:rFonts w:hint="eastAsia" w:ascii="仿宋" w:hAnsi="仿宋" w:eastAsia="仿宋" w:cs="仿宋"/>
              </w:rPr>
              <w:t>具有“基层卫生短信消息服务系统或语音外呼平台或智能语音随访”类软件著作权，提供一个得5分，最高的</w:t>
            </w:r>
            <w:r>
              <w:rPr>
                <w:rFonts w:hint="eastAsia" w:ascii="仿宋" w:hAnsi="仿宋" w:eastAsia="仿宋" w:cs="仿宋"/>
                <w:lang w:val="en-US" w:eastAsia="zh-CN"/>
              </w:rPr>
              <w:t>15</w:t>
            </w:r>
            <w:r>
              <w:rPr>
                <w:rFonts w:hint="eastAsia" w:ascii="仿宋" w:hAnsi="仿宋" w:eastAsia="仿宋" w:cs="仿宋"/>
              </w:rPr>
              <w:t>分；未提供证明材料</w:t>
            </w:r>
            <w:r>
              <w:rPr>
                <w:rFonts w:hint="eastAsia" w:ascii="仿宋" w:hAnsi="仿宋" w:eastAsia="仿宋" w:cs="仿宋"/>
                <w:lang w:val="en-US" w:eastAsia="zh-CN"/>
              </w:rPr>
              <w:t>不得分。</w:t>
            </w:r>
          </w:p>
          <w:p>
            <w:pPr>
              <w:jc w:val="left"/>
              <w:rPr>
                <w:rFonts w:ascii="仿宋" w:hAnsi="仿宋" w:eastAsia="仿宋" w:cs="仿宋"/>
              </w:rPr>
            </w:pPr>
            <w:r>
              <w:rPr>
                <w:rFonts w:hint="eastAsia" w:ascii="仿宋" w:hAnsi="仿宋" w:eastAsia="仿宋" w:cs="仿宋"/>
              </w:rPr>
              <w:t>（二）评分依据：</w:t>
            </w:r>
          </w:p>
          <w:p>
            <w:pPr>
              <w:jc w:val="left"/>
              <w:rPr>
                <w:rFonts w:ascii="仿宋" w:hAnsi="仿宋" w:eastAsia="仿宋" w:cs="仿宋"/>
                <w:color w:val="000000"/>
              </w:rPr>
            </w:pPr>
            <w:r>
              <w:rPr>
                <w:rFonts w:hint="eastAsia" w:ascii="仿宋" w:hAnsi="仿宋" w:eastAsia="仿宋" w:cs="仿宋"/>
              </w:rPr>
              <w:t>若投标人自行开发的，提供计算机软件著作权证明以及系统功能截图；若投标人购买（含租用）的，同时提供：①购买软件的购置发票（或租赁合同）；②系统功能截图。</w:t>
            </w:r>
          </w:p>
        </w:tc>
        <w:tc>
          <w:tcPr>
            <w:tcW w:w="451" w:type="pct"/>
            <w:vAlign w:val="center"/>
          </w:tcPr>
          <w:p>
            <w:pPr>
              <w:widowControl/>
              <w:spacing w:line="36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color w:val="000000"/>
              </w:rPr>
              <w:t>3.5</w:t>
            </w:r>
          </w:p>
        </w:tc>
        <w:tc>
          <w:tcPr>
            <w:tcW w:w="662" w:type="pct"/>
            <w:vAlign w:val="center"/>
          </w:tcPr>
          <w:p>
            <w:pPr>
              <w:widowControl/>
              <w:spacing w:line="360" w:lineRule="auto"/>
              <w:jc w:val="center"/>
              <w:rPr>
                <w:rFonts w:ascii="仿宋" w:hAnsi="仿宋" w:eastAsia="仿宋" w:cs="仿宋"/>
              </w:rPr>
            </w:pPr>
            <w:r>
              <w:rPr>
                <w:rFonts w:hint="eastAsia" w:ascii="仿宋" w:hAnsi="仿宋" w:eastAsia="仿宋" w:cs="仿宋"/>
              </w:rPr>
              <w:t>投标人通过相关认证情况</w:t>
            </w:r>
          </w:p>
        </w:tc>
        <w:tc>
          <w:tcPr>
            <w:tcW w:w="3465" w:type="pct"/>
            <w:vAlign w:val="center"/>
          </w:tcPr>
          <w:p>
            <w:pPr>
              <w:jc w:val="left"/>
              <w:rPr>
                <w:rFonts w:ascii="仿宋" w:hAnsi="仿宋" w:eastAsia="仿宋" w:cs="仿宋"/>
              </w:rPr>
            </w:pPr>
            <w:r>
              <w:rPr>
                <w:rFonts w:hint="eastAsia" w:ascii="仿宋" w:hAnsi="仿宋" w:eastAsia="仿宋" w:cs="仿宋"/>
              </w:rPr>
              <w:t>（一）评分内容</w:t>
            </w:r>
          </w:p>
          <w:p>
            <w:pPr>
              <w:jc w:val="left"/>
              <w:rPr>
                <w:rFonts w:ascii="仿宋" w:hAnsi="仿宋" w:eastAsia="仿宋" w:cs="仿宋"/>
              </w:rPr>
            </w:pPr>
            <w:r>
              <w:rPr>
                <w:rFonts w:hint="eastAsia" w:ascii="仿宋" w:hAnsi="仿宋" w:eastAsia="仿宋" w:cs="仿宋"/>
              </w:rPr>
              <w:t>（1）具有“质量管理体系类认证证书”,得3分；</w:t>
            </w:r>
          </w:p>
          <w:p>
            <w:pPr>
              <w:jc w:val="left"/>
              <w:rPr>
                <w:rFonts w:ascii="仿宋" w:hAnsi="仿宋" w:eastAsia="仿宋" w:cs="仿宋"/>
              </w:rPr>
            </w:pPr>
            <w:r>
              <w:rPr>
                <w:rFonts w:hint="eastAsia" w:ascii="仿宋" w:hAnsi="仿宋" w:eastAsia="仿宋" w:cs="仿宋"/>
              </w:rPr>
              <w:t>（2）具有“信息安全管理体系类认证证书”得2分。</w:t>
            </w:r>
          </w:p>
          <w:p>
            <w:pPr>
              <w:jc w:val="left"/>
              <w:rPr>
                <w:rFonts w:ascii="仿宋" w:hAnsi="仿宋" w:eastAsia="仿宋" w:cs="仿宋"/>
                <w:color w:val="000000"/>
              </w:rPr>
            </w:pPr>
            <w:r>
              <w:rPr>
                <w:rFonts w:hint="eastAsia" w:ascii="仿宋" w:hAnsi="仿宋" w:eastAsia="仿宋" w:cs="仿宋"/>
              </w:rPr>
              <w:t>无证明证书</w:t>
            </w:r>
            <w:r>
              <w:rPr>
                <w:rFonts w:hint="eastAsia" w:ascii="仿宋" w:hAnsi="仿宋" w:eastAsia="仿宋" w:cs="仿宋"/>
                <w:lang w:val="en-US" w:eastAsia="zh-CN"/>
              </w:rPr>
              <w:t>或</w:t>
            </w:r>
            <w:r>
              <w:rPr>
                <w:rFonts w:hint="eastAsia" w:ascii="仿宋" w:hAnsi="仿宋" w:eastAsia="仿宋" w:cs="仿宋"/>
              </w:rPr>
              <w:t>有效期</w:t>
            </w:r>
            <w:r>
              <w:rPr>
                <w:rFonts w:hint="eastAsia" w:ascii="仿宋" w:hAnsi="仿宋" w:eastAsia="仿宋" w:cs="仿宋"/>
                <w:lang w:val="en-US" w:eastAsia="zh-CN"/>
              </w:rPr>
              <w:t>外</w:t>
            </w:r>
            <w:r>
              <w:rPr>
                <w:rFonts w:hint="eastAsia" w:ascii="仿宋" w:hAnsi="仿宋" w:eastAsia="仿宋" w:cs="仿宋"/>
              </w:rPr>
              <w:t>的不得分；</w:t>
            </w:r>
          </w:p>
        </w:tc>
        <w:tc>
          <w:tcPr>
            <w:tcW w:w="451" w:type="pct"/>
            <w:vAlign w:val="center"/>
          </w:tcPr>
          <w:p>
            <w:pPr>
              <w:widowControl/>
              <w:spacing w:line="360" w:lineRule="auto"/>
              <w:jc w:val="center"/>
              <w:rPr>
                <w:rFonts w:ascii="仿宋" w:hAnsi="仿宋" w:eastAsia="仿宋" w:cs="仿宋"/>
                <w:color w:val="000000"/>
              </w:rPr>
            </w:pPr>
            <w:r>
              <w:rPr>
                <w:rFonts w:hint="eastAsia" w:ascii="仿宋" w:hAnsi="仿宋" w:eastAsia="仿宋" w:cs="仿宋"/>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48" w:type="pct"/>
            <w:gridSpan w:val="3"/>
            <w:vAlign w:val="center"/>
          </w:tcPr>
          <w:p>
            <w:pPr>
              <w:widowControl/>
              <w:adjustRightInd w:val="0"/>
              <w:snapToGrid w:val="0"/>
              <w:spacing w:line="360" w:lineRule="auto"/>
              <w:rPr>
                <w:rFonts w:ascii="仿宋" w:hAnsi="仿宋" w:eastAsia="仿宋" w:cs="仿宋"/>
              </w:rPr>
            </w:pPr>
            <w:r>
              <w:rPr>
                <w:rFonts w:hint="eastAsia" w:ascii="仿宋" w:hAnsi="仿宋" w:eastAsia="仿宋" w:cs="仿宋"/>
              </w:rPr>
              <w:t>合计：</w:t>
            </w:r>
          </w:p>
        </w:tc>
        <w:tc>
          <w:tcPr>
            <w:tcW w:w="451" w:type="pct"/>
            <w:vAlign w:val="center"/>
          </w:tcPr>
          <w:p>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100</w:t>
            </w:r>
          </w:p>
        </w:tc>
      </w:tr>
    </w:tbl>
    <w:p>
      <w:pPr>
        <w:pStyle w:val="10"/>
        <w:ind w:left="0" w:leftChars="0"/>
      </w:pPr>
    </w:p>
    <w:p>
      <w:pPr>
        <w:spacing w:line="360" w:lineRule="auto"/>
        <w:rPr>
          <w:rFonts w:ascii="仿宋" w:hAnsi="仿宋" w:eastAsia="仿宋" w:cs="仿宋"/>
          <w:u w:val="single"/>
        </w:rPr>
      </w:pPr>
      <w:r>
        <w:rPr>
          <w:rFonts w:hint="eastAsia" w:ascii="仿宋" w:hAnsi="仿宋" w:eastAsia="仿宋" w:cs="仿宋"/>
          <w:u w:val="single"/>
        </w:rPr>
        <w:t>2.小微企业价格扣除</w:t>
      </w:r>
    </w:p>
    <w:p>
      <w:pPr>
        <w:spacing w:line="360" w:lineRule="auto"/>
        <w:rPr>
          <w:rFonts w:ascii="仿宋" w:hAnsi="仿宋" w:eastAsia="仿宋" w:cs="仿宋"/>
          <w:u w:val="single"/>
        </w:rPr>
      </w:pPr>
      <w:r>
        <w:rPr>
          <w:rFonts w:hint="eastAsia" w:ascii="仿宋" w:hAnsi="仿宋" w:eastAsia="仿宋" w:cs="仿宋"/>
          <w:u w:val="single"/>
        </w:rPr>
        <w:t>2.1对于专门面向中小企业或小型、微型企业的服务，只面向中小企业或小型、微型企业采购。对于非专门面向中小企业的服务，对小型和微型企业的价格给予10%的扣除，用扣除后的价格参与评审。</w:t>
      </w:r>
    </w:p>
    <w:p>
      <w:pPr>
        <w:spacing w:line="360" w:lineRule="auto"/>
        <w:rPr>
          <w:rFonts w:ascii="仿宋" w:hAnsi="仿宋" w:eastAsia="仿宋" w:cs="仿宋"/>
          <w:u w:val="single"/>
        </w:rPr>
      </w:pPr>
      <w:r>
        <w:rPr>
          <w:rFonts w:hint="eastAsia" w:ascii="仿宋" w:hAnsi="仿宋" w:eastAsia="仿宋" w:cs="仿宋"/>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rFonts w:ascii="仿宋" w:hAnsi="仿宋" w:eastAsia="仿宋" w:cs="仿宋"/>
          <w:u w:val="single"/>
        </w:rPr>
      </w:pPr>
      <w:r>
        <w:rPr>
          <w:rFonts w:hint="eastAsia" w:ascii="仿宋" w:hAnsi="仿宋" w:eastAsia="仿宋" w:cs="仿宋"/>
          <w:u w:val="single"/>
        </w:rPr>
        <w:t>3.监狱和戒毒企业的价格扣除</w:t>
      </w:r>
    </w:p>
    <w:p>
      <w:pPr>
        <w:spacing w:line="360" w:lineRule="auto"/>
        <w:rPr>
          <w:rFonts w:ascii="仿宋" w:hAnsi="仿宋" w:eastAsia="仿宋" w:cs="仿宋"/>
          <w:u w:val="single"/>
        </w:rPr>
      </w:pPr>
      <w:r>
        <w:rPr>
          <w:rFonts w:hint="eastAsia" w:ascii="仿宋" w:hAnsi="仿宋" w:eastAsia="仿宋" w:cs="仿宋"/>
          <w:u w:val="single"/>
        </w:rPr>
        <w:t>3.1 本服务对监狱和戒毒企业，给予10%的价格扣除，用扣除后的价格参与评审。</w:t>
      </w:r>
    </w:p>
    <w:p>
      <w:pPr>
        <w:spacing w:line="360" w:lineRule="auto"/>
        <w:rPr>
          <w:rFonts w:ascii="仿宋" w:hAnsi="仿宋" w:eastAsia="仿宋" w:cs="仿宋"/>
          <w:u w:val="single"/>
        </w:rPr>
      </w:pPr>
      <w:r>
        <w:rPr>
          <w:rFonts w:hint="eastAsia" w:ascii="仿宋" w:hAnsi="仿宋" w:eastAsia="仿宋" w:cs="仿宋"/>
          <w:u w:val="single"/>
        </w:rPr>
        <w:t>3.2 监狱企业需提供由省级以上监狱管理局、戒毒管理局（含新疆生产建设兵团）出具的属于监狱企业的证明文件。</w:t>
      </w:r>
    </w:p>
    <w:p>
      <w:pPr>
        <w:spacing w:line="360" w:lineRule="auto"/>
        <w:rPr>
          <w:rFonts w:ascii="仿宋" w:hAnsi="仿宋" w:eastAsia="仿宋" w:cs="仿宋"/>
          <w:u w:val="single"/>
        </w:rPr>
      </w:pPr>
      <w:r>
        <w:rPr>
          <w:rFonts w:hint="eastAsia" w:ascii="仿宋" w:hAnsi="仿宋" w:eastAsia="仿宋" w:cs="仿宋"/>
          <w:u w:val="single"/>
        </w:rPr>
        <w:t>3.3 监狱企业标准请参照《关于政府采购支持监狱企业发展有关问题的通知》（财库〔2014〕68号）。</w:t>
      </w:r>
    </w:p>
    <w:p>
      <w:pPr>
        <w:spacing w:line="360" w:lineRule="auto"/>
        <w:rPr>
          <w:rFonts w:ascii="仿宋" w:hAnsi="仿宋" w:eastAsia="仿宋" w:cs="仿宋"/>
          <w:u w:val="single"/>
        </w:rPr>
      </w:pPr>
      <w:r>
        <w:rPr>
          <w:rFonts w:hint="eastAsia" w:ascii="仿宋" w:hAnsi="仿宋" w:eastAsia="仿宋" w:cs="仿宋"/>
          <w:u w:val="single"/>
        </w:rPr>
        <w:t>4.残疾人福利性单位的价格扣除</w:t>
      </w:r>
    </w:p>
    <w:p>
      <w:pPr>
        <w:spacing w:line="360" w:lineRule="auto"/>
        <w:rPr>
          <w:rFonts w:ascii="仿宋" w:hAnsi="仿宋" w:eastAsia="仿宋" w:cs="仿宋"/>
          <w:u w:val="single"/>
        </w:rPr>
      </w:pPr>
      <w:r>
        <w:rPr>
          <w:rFonts w:hint="eastAsia" w:ascii="仿宋" w:hAnsi="仿宋" w:eastAsia="仿宋" w:cs="仿宋"/>
          <w:u w:val="single"/>
        </w:rPr>
        <w:t>4.1 本服务对残疾人福利性单位，给予10%的价格扣除，用扣除后的价格参与评审。</w:t>
      </w:r>
    </w:p>
    <w:p>
      <w:pPr>
        <w:spacing w:line="360" w:lineRule="auto"/>
        <w:rPr>
          <w:rFonts w:ascii="仿宋" w:hAnsi="仿宋" w:eastAsia="仿宋" w:cs="仿宋"/>
          <w:u w:val="single"/>
        </w:rPr>
      </w:pPr>
      <w:r>
        <w:rPr>
          <w:rFonts w:hint="eastAsia" w:ascii="仿宋" w:hAnsi="仿宋" w:eastAsia="仿宋" w:cs="仿宋"/>
          <w:u w:val="single"/>
        </w:rPr>
        <w:t>4.2 残疾人福利性单位需提供《残疾人福利性单位声明函》</w:t>
      </w:r>
    </w:p>
    <w:p>
      <w:pPr>
        <w:spacing w:line="360" w:lineRule="auto"/>
        <w:rPr>
          <w:rFonts w:ascii="仿宋" w:hAnsi="仿宋" w:eastAsia="仿宋" w:cs="仿宋"/>
          <w:u w:val="single"/>
        </w:rPr>
      </w:pPr>
      <w:r>
        <w:rPr>
          <w:rFonts w:hint="eastAsia" w:ascii="仿宋" w:hAnsi="仿宋" w:eastAsia="仿宋" w:cs="仿宋"/>
          <w:u w:val="single"/>
        </w:rPr>
        <w:t>4.3 残疾人福利性单位标准请参照《关于促进残疾人就业政府采购政策的通知》（财库〔2017〕141号）。</w:t>
      </w:r>
    </w:p>
    <w:p>
      <w:pPr>
        <w:spacing w:line="360" w:lineRule="auto"/>
        <w:rPr>
          <w:rFonts w:ascii="仿宋" w:hAnsi="仿宋" w:eastAsia="仿宋" w:cs="仿宋"/>
        </w:rPr>
      </w:pPr>
      <w:r>
        <w:rPr>
          <w:rFonts w:hint="eastAsia" w:ascii="仿宋" w:hAnsi="仿宋" w:eastAsia="仿宋" w:cs="仿宋"/>
          <w:u w:val="single"/>
        </w:rPr>
        <w:t>5. 监狱企业、残疾人福利性单位属于小型、微型企业的，不重复享受政策。</w:t>
      </w:r>
    </w:p>
    <w:p>
      <w:pPr>
        <w:pStyle w:val="9"/>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pPr>
        <w:pStyle w:val="3"/>
        <w:spacing w:line="360" w:lineRule="auto"/>
        <w:rPr>
          <w:rFonts w:ascii="仿宋" w:hAnsi="仿宋" w:eastAsia="仿宋" w:cs="宋体"/>
          <w:sz w:val="24"/>
          <w:szCs w:val="28"/>
        </w:rPr>
      </w:pPr>
      <w:r>
        <w:rPr>
          <w:rFonts w:hint="eastAsia" w:ascii="仿宋" w:hAnsi="仿宋" w:eastAsia="仿宋" w:cs="宋体"/>
          <w:sz w:val="24"/>
          <w:szCs w:val="28"/>
        </w:rPr>
        <w:t>一、</w:t>
      </w:r>
      <w:bookmarkStart w:id="31" w:name="_Toc67153000"/>
      <w:r>
        <w:rPr>
          <w:rFonts w:hint="eastAsia" w:ascii="仿宋" w:hAnsi="仿宋" w:eastAsia="仿宋" w:cs="宋体"/>
          <w:sz w:val="24"/>
          <w:szCs w:val="28"/>
        </w:rPr>
        <w:t>服务内容</w:t>
      </w:r>
      <w:bookmarkEnd w:id="31"/>
    </w:p>
    <w:p>
      <w:pPr>
        <w:ind w:firstLine="480" w:firstLineChars="200"/>
        <w:rPr>
          <w:rFonts w:ascii="仿宋" w:hAnsi="仿宋" w:eastAsia="仿宋" w:cs="宋体"/>
          <w:sz w:val="24"/>
          <w:szCs w:val="28"/>
        </w:rPr>
      </w:pPr>
      <w:r>
        <w:rPr>
          <w:rFonts w:hint="eastAsia" w:ascii="仿宋" w:hAnsi="仿宋" w:eastAsia="仿宋"/>
          <w:sz w:val="24"/>
          <w:szCs w:val="28"/>
          <w:lang w:eastAsia="zh-CN"/>
        </w:rPr>
        <w:t>2024</w:t>
      </w:r>
      <w:r>
        <w:rPr>
          <w:rFonts w:hint="eastAsia" w:ascii="仿宋" w:hAnsi="仿宋" w:eastAsia="仿宋"/>
          <w:sz w:val="24"/>
          <w:szCs w:val="28"/>
        </w:rPr>
        <w:t>年度南京市基本公卫及家医签约服务知晓率和满意度评价服务</w:t>
      </w:r>
    </w:p>
    <w:p>
      <w:pPr>
        <w:pStyle w:val="3"/>
        <w:spacing w:line="360" w:lineRule="auto"/>
        <w:rPr>
          <w:rFonts w:ascii="仿宋" w:hAnsi="仿宋" w:eastAsia="仿宋" w:cs="宋体"/>
          <w:sz w:val="24"/>
          <w:szCs w:val="28"/>
        </w:rPr>
      </w:pPr>
      <w:r>
        <w:rPr>
          <w:rFonts w:hint="eastAsia" w:ascii="仿宋" w:hAnsi="仿宋" w:eastAsia="仿宋" w:cs="宋体"/>
          <w:sz w:val="24"/>
          <w:szCs w:val="28"/>
        </w:rPr>
        <w:t>二、服务范围及服务周期</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本次服务范围为：调查范围包括南京市下辖11个市辖区（玄武区、秦淮区、建邺区、鼓楼区、栖霞区、雨花台区、江宁区、浦口区、六合区、溧水区、高淳区）和1个国家级新区（江北新区）</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服务周期：从合同签订到验收合格</w:t>
      </w:r>
    </w:p>
    <w:p>
      <w:pPr>
        <w:pStyle w:val="3"/>
        <w:spacing w:line="360" w:lineRule="auto"/>
        <w:rPr>
          <w:rFonts w:ascii="仿宋" w:hAnsi="仿宋" w:eastAsia="仿宋" w:cs="宋体"/>
          <w:sz w:val="24"/>
          <w:szCs w:val="28"/>
        </w:rPr>
      </w:pPr>
      <w:r>
        <w:rPr>
          <w:rFonts w:hint="eastAsia" w:ascii="仿宋" w:hAnsi="仿宋" w:eastAsia="仿宋" w:cs="宋体"/>
          <w:sz w:val="24"/>
          <w:szCs w:val="28"/>
        </w:rPr>
        <w:t>三、服务具体要求</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（一）内容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调查内容：南京市常住居民对国家基本公共卫生服务项目服务内容和相关健康常识的知晓程度、居民对享受国家基本公共卫生服务的满意程度、居民对家庭医生签约的知晓程度、居民对享受家庭医生签约服务的满意程度，提供全年两次调查。</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（二）调查对象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服务项目人群包括</w:t>
      </w:r>
      <w:r>
        <w:rPr>
          <w:rFonts w:hint="eastAsia" w:ascii="仿宋" w:hAnsi="仿宋" w:eastAsia="仿宋" w:cs="宋体"/>
          <w:sz w:val="24"/>
          <w:szCs w:val="28"/>
          <w:lang w:val="en-US" w:eastAsia="zh-CN"/>
        </w:rPr>
        <w:t>家医签约人群、</w:t>
      </w:r>
      <w:r>
        <w:rPr>
          <w:rFonts w:hint="eastAsia" w:ascii="仿宋" w:hAnsi="仿宋" w:eastAsia="仿宋" w:cs="宋体"/>
          <w:sz w:val="24"/>
          <w:szCs w:val="28"/>
          <w:lang w:eastAsia="zh-CN"/>
        </w:rPr>
        <w:t>一般建档人群</w:t>
      </w:r>
      <w:r>
        <w:rPr>
          <w:rFonts w:hint="eastAsia" w:ascii="仿宋" w:hAnsi="仿宋" w:eastAsia="仿宋" w:cs="宋体"/>
          <w:sz w:val="24"/>
          <w:szCs w:val="28"/>
        </w:rPr>
        <w:t>、60岁及以上老年人、高血压患者、2型糖尿病患者、孕产妇、0-6岁儿童家长。</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（三）调查样本量</w:t>
      </w:r>
    </w:p>
    <w:p>
      <w:pPr>
        <w:widowControl/>
        <w:spacing w:line="360" w:lineRule="auto"/>
        <w:ind w:firstLine="480" w:firstLineChars="200"/>
        <w:jc w:val="left"/>
        <w:rPr>
          <w:rFonts w:hint="default" w:ascii="仿宋" w:hAnsi="仿宋" w:eastAsia="仿宋" w:cs="宋体"/>
          <w:sz w:val="24"/>
          <w:szCs w:val="28"/>
          <w:lang w:val="en-US" w:eastAsia="zh-CN"/>
        </w:rPr>
      </w:pPr>
      <w:r>
        <w:rPr>
          <w:rFonts w:hint="eastAsia" w:ascii="仿宋" w:hAnsi="仿宋" w:eastAsia="仿宋" w:cs="宋体"/>
          <w:sz w:val="24"/>
          <w:szCs w:val="28"/>
          <w:lang w:eastAsia="zh-CN"/>
        </w:rPr>
        <w:t>2024</w:t>
      </w:r>
      <w:r>
        <w:rPr>
          <w:rFonts w:hint="eastAsia" w:ascii="仿宋" w:hAnsi="仿宋" w:eastAsia="仿宋" w:cs="宋体"/>
          <w:sz w:val="24"/>
          <w:szCs w:val="28"/>
        </w:rPr>
        <w:t>年调查有效样本量（接通后接受、拒绝、完成完整话术等）需达到60000名左右，调查闭环量（完成完整话术）需达到18000名，包括</w:t>
      </w:r>
      <w:r>
        <w:rPr>
          <w:rFonts w:hint="eastAsia" w:ascii="仿宋" w:hAnsi="仿宋" w:eastAsia="仿宋" w:cs="宋体"/>
          <w:sz w:val="24"/>
          <w:szCs w:val="28"/>
          <w:lang w:val="en-US" w:eastAsia="zh-CN"/>
        </w:rPr>
        <w:t>家医签约人群、</w:t>
      </w:r>
      <w:r>
        <w:rPr>
          <w:rFonts w:hint="eastAsia" w:ascii="仿宋" w:hAnsi="仿宋" w:eastAsia="仿宋" w:cs="宋体"/>
          <w:sz w:val="24"/>
          <w:szCs w:val="28"/>
          <w:lang w:eastAsia="zh-CN"/>
        </w:rPr>
        <w:t>一般建档人群</w:t>
      </w:r>
      <w:r>
        <w:rPr>
          <w:rFonts w:hint="eastAsia" w:ascii="仿宋" w:hAnsi="仿宋" w:eastAsia="仿宋" w:cs="宋体"/>
          <w:sz w:val="24"/>
          <w:szCs w:val="28"/>
        </w:rPr>
        <w:t>、60岁及以上老年人、高血压患者、2型糖尿病患者、孕产妇及0-6岁儿童家长，按人群等量分配，各区</w:t>
      </w:r>
      <w:r>
        <w:rPr>
          <w:rFonts w:hint="eastAsia" w:ascii="仿宋" w:hAnsi="仿宋" w:eastAsia="仿宋" w:cs="宋体"/>
          <w:sz w:val="24"/>
          <w:szCs w:val="28"/>
          <w:highlight w:val="none"/>
        </w:rPr>
        <w:t>等量分配。</w:t>
      </w:r>
      <w:r>
        <w:rPr>
          <w:rFonts w:hint="eastAsia" w:ascii="仿宋" w:hAnsi="仿宋" w:eastAsia="仿宋" w:cs="宋体"/>
          <w:sz w:val="24"/>
          <w:szCs w:val="28"/>
          <w:highlight w:val="none"/>
          <w:lang w:val="en-US" w:eastAsia="zh-CN"/>
        </w:rPr>
        <w:t>本次评价服务完成量最终依据</w:t>
      </w:r>
      <w:r>
        <w:rPr>
          <w:rFonts w:hint="eastAsia" w:ascii="仿宋" w:hAnsi="仿宋" w:eastAsia="仿宋" w:cs="宋体"/>
          <w:sz w:val="24"/>
          <w:szCs w:val="28"/>
          <w:highlight w:val="none"/>
        </w:rPr>
        <w:t>闭环量（完成完整话术）</w:t>
      </w:r>
      <w:r>
        <w:rPr>
          <w:rFonts w:hint="eastAsia" w:ascii="仿宋" w:hAnsi="仿宋" w:eastAsia="仿宋" w:cs="宋体"/>
          <w:sz w:val="24"/>
          <w:szCs w:val="28"/>
          <w:highlight w:val="none"/>
          <w:lang w:val="en-US" w:eastAsia="zh-CN"/>
        </w:rPr>
        <w:t>来计算</w:t>
      </w:r>
      <w:r>
        <w:rPr>
          <w:rFonts w:hint="eastAsia" w:ascii="仿宋" w:hAnsi="仿宋" w:eastAsia="仿宋" w:cs="宋体"/>
          <w:sz w:val="24"/>
          <w:szCs w:val="28"/>
          <w:highlight w:val="none"/>
          <w:lang w:eastAsia="zh-CN"/>
        </w:rPr>
        <w:t>，</w:t>
      </w:r>
      <w:r>
        <w:rPr>
          <w:rFonts w:hint="eastAsia" w:ascii="仿宋" w:hAnsi="仿宋" w:eastAsia="仿宋" w:cs="宋体"/>
          <w:sz w:val="24"/>
          <w:szCs w:val="28"/>
          <w:highlight w:val="none"/>
          <w:lang w:val="en-US" w:eastAsia="zh-CN"/>
        </w:rPr>
        <w:t>如各区各人群分配的有效样本量</w:t>
      </w:r>
      <w:r>
        <w:rPr>
          <w:rFonts w:hint="eastAsia" w:ascii="仿宋" w:hAnsi="仿宋" w:eastAsia="仿宋" w:cs="宋体"/>
          <w:sz w:val="24"/>
          <w:szCs w:val="28"/>
          <w:highlight w:val="none"/>
        </w:rPr>
        <w:t>（接通后接受、拒绝、完成完整话术等）</w:t>
      </w:r>
      <w:r>
        <w:rPr>
          <w:rFonts w:hint="eastAsia" w:ascii="仿宋" w:hAnsi="仿宋" w:eastAsia="仿宋" w:cs="宋体"/>
          <w:sz w:val="24"/>
          <w:szCs w:val="28"/>
          <w:highlight w:val="none"/>
          <w:lang w:val="en-US" w:eastAsia="zh-CN"/>
        </w:rPr>
        <w:t>达标而</w:t>
      </w:r>
      <w:r>
        <w:rPr>
          <w:rFonts w:hint="eastAsia" w:ascii="仿宋" w:hAnsi="仿宋" w:eastAsia="仿宋" w:cs="宋体"/>
          <w:sz w:val="24"/>
          <w:szCs w:val="28"/>
          <w:highlight w:val="none"/>
        </w:rPr>
        <w:t>闭环量（完成完整话术）</w:t>
      </w:r>
      <w:r>
        <w:rPr>
          <w:rFonts w:hint="eastAsia" w:ascii="仿宋" w:hAnsi="仿宋" w:eastAsia="仿宋" w:cs="宋体"/>
          <w:sz w:val="24"/>
          <w:szCs w:val="28"/>
          <w:highlight w:val="none"/>
          <w:lang w:val="en-US" w:eastAsia="zh-CN"/>
        </w:rPr>
        <w:t>未达标，则需继续进行调查，直至完成分配的</w:t>
      </w:r>
      <w:r>
        <w:rPr>
          <w:rFonts w:hint="eastAsia" w:ascii="仿宋" w:hAnsi="仿宋" w:eastAsia="仿宋" w:cs="宋体"/>
          <w:sz w:val="24"/>
          <w:szCs w:val="28"/>
          <w:highlight w:val="none"/>
        </w:rPr>
        <w:t>闭环量</w:t>
      </w:r>
      <w:r>
        <w:rPr>
          <w:rFonts w:hint="eastAsia" w:ascii="仿宋" w:hAnsi="仿宋" w:eastAsia="仿宋" w:cs="宋体"/>
          <w:sz w:val="24"/>
          <w:szCs w:val="28"/>
          <w:highlight w:val="none"/>
          <w:lang w:val="en-US" w:eastAsia="zh-CN"/>
        </w:rPr>
        <w:t>。</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全年两次，单次调查有效样本量：</w:t>
      </w:r>
    </w:p>
    <w:tbl>
      <w:tblPr>
        <w:tblStyle w:val="22"/>
        <w:tblW w:w="4995" w:type="pct"/>
        <w:tblInd w:w="0" w:type="dxa"/>
        <w:tblLayout w:type="autofit"/>
        <w:tblCellMar>
          <w:top w:w="0" w:type="dxa"/>
          <w:left w:w="108" w:type="dxa"/>
          <w:bottom w:w="0" w:type="dxa"/>
          <w:right w:w="108" w:type="dxa"/>
        </w:tblCellMar>
      </w:tblPr>
      <w:tblGrid>
        <w:gridCol w:w="464"/>
        <w:gridCol w:w="1327"/>
        <w:gridCol w:w="784"/>
        <w:gridCol w:w="728"/>
        <w:gridCol w:w="915"/>
        <w:gridCol w:w="859"/>
        <w:gridCol w:w="859"/>
        <w:gridCol w:w="859"/>
        <w:gridCol w:w="859"/>
        <w:gridCol w:w="859"/>
      </w:tblGrid>
      <w:tr>
        <w:tblPrEx>
          <w:tblCellMar>
            <w:top w:w="0" w:type="dxa"/>
            <w:left w:w="108" w:type="dxa"/>
            <w:bottom w:w="0" w:type="dxa"/>
            <w:right w:w="108" w:type="dxa"/>
          </w:tblCellMar>
        </w:tblPrEx>
        <w:trPr>
          <w:trHeight w:val="807" w:hRule="atLeast"/>
        </w:trPr>
        <w:tc>
          <w:tcPr>
            <w:tcW w:w="27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序号</w:t>
            </w:r>
          </w:p>
        </w:tc>
        <w:tc>
          <w:tcPr>
            <w:tcW w:w="779"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区/县</w:t>
            </w:r>
          </w:p>
        </w:tc>
        <w:tc>
          <w:tcPr>
            <w:tcW w:w="460"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sz w:val="24"/>
                <w:szCs w:val="28"/>
              </w:rPr>
            </w:pPr>
            <w:r>
              <w:rPr>
                <w:rFonts w:hint="eastAsia" w:ascii="仿宋" w:hAnsi="仿宋" w:eastAsia="仿宋" w:cs="宋体"/>
                <w:sz w:val="24"/>
                <w:szCs w:val="28"/>
              </w:rPr>
              <w:t>家医签约</w:t>
            </w:r>
          </w:p>
        </w:tc>
        <w:tc>
          <w:tcPr>
            <w:tcW w:w="427"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sz w:val="24"/>
                <w:szCs w:val="28"/>
                <w:lang w:eastAsia="zh-CN"/>
              </w:rPr>
            </w:pPr>
            <w:r>
              <w:rPr>
                <w:rFonts w:hint="eastAsia" w:ascii="仿宋" w:hAnsi="仿宋" w:eastAsia="仿宋" w:cs="宋体"/>
                <w:sz w:val="24"/>
                <w:szCs w:val="28"/>
                <w:lang w:eastAsia="zh-CN"/>
              </w:rPr>
              <w:t>一般建档人群</w:t>
            </w:r>
          </w:p>
        </w:tc>
        <w:tc>
          <w:tcPr>
            <w:tcW w:w="537"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60岁及以上老年人</w:t>
            </w:r>
          </w:p>
        </w:tc>
        <w:tc>
          <w:tcPr>
            <w:tcW w:w="504"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高血压患者</w:t>
            </w:r>
          </w:p>
        </w:tc>
        <w:tc>
          <w:tcPr>
            <w:tcW w:w="504"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2型糖尿病患者</w:t>
            </w:r>
          </w:p>
        </w:tc>
        <w:tc>
          <w:tcPr>
            <w:tcW w:w="504"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孕产妇</w:t>
            </w:r>
          </w:p>
        </w:tc>
        <w:tc>
          <w:tcPr>
            <w:tcW w:w="504"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0-6岁儿童家长</w:t>
            </w:r>
          </w:p>
        </w:tc>
        <w:tc>
          <w:tcPr>
            <w:tcW w:w="504" w:type="pct"/>
            <w:tcBorders>
              <w:top w:val="single" w:color="000000" w:sz="8" w:space="0"/>
              <w:left w:val="nil"/>
              <w:bottom w:val="single" w:color="000000" w:sz="8" w:space="0"/>
              <w:right w:val="single" w:color="000000" w:sz="8" w:space="0"/>
            </w:tcBorders>
            <w:shd w:val="clear" w:color="auto" w:fill="auto"/>
            <w:noWrap/>
            <w:vAlign w:val="center"/>
          </w:tcPr>
          <w:p>
            <w:pPr>
              <w:widowControl/>
              <w:jc w:val="left"/>
              <w:rPr>
                <w:rFonts w:ascii="仿宋" w:hAnsi="仿宋" w:eastAsia="仿宋" w:cs="宋体"/>
                <w:sz w:val="24"/>
                <w:szCs w:val="28"/>
              </w:rPr>
            </w:pPr>
            <w:r>
              <w:rPr>
                <w:rFonts w:hint="eastAsia" w:ascii="仿宋" w:hAnsi="仿宋" w:eastAsia="仿宋" w:cs="宋体"/>
                <w:sz w:val="24"/>
                <w:szCs w:val="28"/>
              </w:rPr>
              <w:t>合计</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玄武区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2</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秦淮区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3</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建邺区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4</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鼓楼区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5</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浦口区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6</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栖霞区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雨花台区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8</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江宁区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9</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六合区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10</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溧水区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11</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高淳区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295" w:hRule="atLeast"/>
        </w:trPr>
        <w:tc>
          <w:tcPr>
            <w:tcW w:w="27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12</w:t>
            </w:r>
          </w:p>
        </w:tc>
        <w:tc>
          <w:tcPr>
            <w:tcW w:w="779"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江北新区</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400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2500</w:t>
            </w:r>
          </w:p>
        </w:tc>
      </w:tr>
      <w:tr>
        <w:tblPrEx>
          <w:tblCellMar>
            <w:top w:w="0" w:type="dxa"/>
            <w:left w:w="108" w:type="dxa"/>
            <w:bottom w:w="0" w:type="dxa"/>
            <w:right w:w="108" w:type="dxa"/>
          </w:tblCellMar>
        </w:tblPrEx>
        <w:trPr>
          <w:trHeight w:val="310" w:hRule="atLeast"/>
        </w:trPr>
        <w:tc>
          <w:tcPr>
            <w:tcW w:w="1052"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合计</w:t>
            </w:r>
          </w:p>
        </w:tc>
        <w:tc>
          <w:tcPr>
            <w:tcW w:w="460"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6000</w:t>
            </w:r>
          </w:p>
        </w:tc>
        <w:tc>
          <w:tcPr>
            <w:tcW w:w="42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rPr>
              <w:t>6000</w:t>
            </w:r>
          </w:p>
        </w:tc>
        <w:tc>
          <w:tcPr>
            <w:tcW w:w="537"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6000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4800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4800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1200</w:t>
            </w:r>
          </w:p>
        </w:tc>
        <w:tc>
          <w:tcPr>
            <w:tcW w:w="504" w:type="pct"/>
            <w:tcBorders>
              <w:top w:val="nil"/>
              <w:left w:val="nil"/>
              <w:bottom w:val="single" w:color="000000" w:sz="8" w:space="0"/>
              <w:right w:val="single" w:color="000000" w:sz="8" w:space="0"/>
            </w:tcBorders>
            <w:shd w:val="clear" w:color="auto" w:fill="auto"/>
            <w:vAlign w:val="center"/>
          </w:tcPr>
          <w:p>
            <w:pPr>
              <w:widowControl/>
              <w:jc w:val="left"/>
              <w:rPr>
                <w:rFonts w:ascii="仿宋" w:hAnsi="仿宋" w:eastAsia="仿宋" w:cs="宋体"/>
                <w:sz w:val="24"/>
                <w:szCs w:val="28"/>
              </w:rPr>
            </w:pPr>
            <w:r>
              <w:rPr>
                <w:rFonts w:hint="eastAsia" w:ascii="仿宋" w:hAnsi="仿宋" w:eastAsia="仿宋" w:cs="宋体"/>
                <w:sz w:val="24"/>
                <w:szCs w:val="28"/>
              </w:rPr>
              <w:t>30000</w:t>
            </w:r>
          </w:p>
        </w:tc>
      </w:tr>
    </w:tbl>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全年两次，单次调查闭环量：</w:t>
      </w:r>
    </w:p>
    <w:tbl>
      <w:tblPr>
        <w:tblStyle w:val="22"/>
        <w:tblW w:w="4998" w:type="pct"/>
        <w:tblInd w:w="0" w:type="dxa"/>
        <w:tblLayout w:type="autofit"/>
        <w:tblCellMar>
          <w:top w:w="0" w:type="dxa"/>
          <w:left w:w="108" w:type="dxa"/>
          <w:bottom w:w="0" w:type="dxa"/>
          <w:right w:w="108" w:type="dxa"/>
        </w:tblCellMar>
      </w:tblPr>
      <w:tblGrid>
        <w:gridCol w:w="547"/>
        <w:gridCol w:w="1286"/>
        <w:gridCol w:w="844"/>
        <w:gridCol w:w="844"/>
        <w:gridCol w:w="861"/>
        <w:gridCol w:w="830"/>
        <w:gridCol w:w="846"/>
        <w:gridCol w:w="818"/>
        <w:gridCol w:w="788"/>
        <w:gridCol w:w="855"/>
      </w:tblGrid>
      <w:tr>
        <w:trPr>
          <w:trHeight w:val="555" w:hRule="atLeast"/>
        </w:trPr>
        <w:tc>
          <w:tcPr>
            <w:tcW w:w="32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序号</w:t>
            </w:r>
          </w:p>
        </w:tc>
        <w:tc>
          <w:tcPr>
            <w:tcW w:w="75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区/县</w:t>
            </w:r>
          </w:p>
        </w:tc>
        <w:tc>
          <w:tcPr>
            <w:tcW w:w="495"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sz w:val="24"/>
                <w:szCs w:val="28"/>
              </w:rPr>
            </w:pPr>
            <w:r>
              <w:rPr>
                <w:rFonts w:hint="eastAsia" w:ascii="仿宋" w:hAnsi="仿宋" w:eastAsia="仿宋" w:cs="宋体"/>
                <w:sz w:val="24"/>
                <w:szCs w:val="28"/>
              </w:rPr>
              <w:t>家医签约</w:t>
            </w:r>
          </w:p>
        </w:tc>
        <w:tc>
          <w:tcPr>
            <w:tcW w:w="495"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sz w:val="24"/>
                <w:szCs w:val="28"/>
                <w:lang w:eastAsia="zh-CN"/>
              </w:rPr>
            </w:pPr>
            <w:r>
              <w:rPr>
                <w:rFonts w:hint="eastAsia" w:ascii="仿宋" w:hAnsi="仿宋" w:eastAsia="仿宋" w:cs="宋体"/>
                <w:sz w:val="24"/>
                <w:szCs w:val="28"/>
                <w:lang w:eastAsia="zh-CN"/>
              </w:rPr>
              <w:t>一般建档人群</w:t>
            </w:r>
          </w:p>
        </w:tc>
        <w:tc>
          <w:tcPr>
            <w:tcW w:w="505"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60岁及以上老年人</w:t>
            </w:r>
          </w:p>
        </w:tc>
        <w:tc>
          <w:tcPr>
            <w:tcW w:w="48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高血压患者</w:t>
            </w:r>
          </w:p>
        </w:tc>
        <w:tc>
          <w:tcPr>
            <w:tcW w:w="496"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2型糖尿病患者</w:t>
            </w:r>
          </w:p>
        </w:tc>
        <w:tc>
          <w:tcPr>
            <w:tcW w:w="480"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孕产妇</w:t>
            </w:r>
          </w:p>
        </w:tc>
        <w:tc>
          <w:tcPr>
            <w:tcW w:w="462"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0-6岁儿童家长</w:t>
            </w:r>
          </w:p>
        </w:tc>
        <w:tc>
          <w:tcPr>
            <w:tcW w:w="50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宋体"/>
                <w:sz w:val="24"/>
                <w:szCs w:val="28"/>
              </w:rPr>
            </w:pPr>
            <w:r>
              <w:rPr>
                <w:rFonts w:hint="eastAsia" w:ascii="仿宋" w:hAnsi="仿宋" w:eastAsia="仿宋" w:cs="宋体"/>
                <w:sz w:val="24"/>
                <w:szCs w:val="28"/>
              </w:rPr>
              <w:t>合计</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玄武区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2</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秦淮区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3</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建邺区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4</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鼓楼区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5</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浦口区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6</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栖霞区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雨花台区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8</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江宁区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9</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六合区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10</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溧水区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11</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高淳区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12</w:t>
            </w:r>
          </w:p>
        </w:tc>
        <w:tc>
          <w:tcPr>
            <w:tcW w:w="754"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江北新区</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750</w:t>
            </w:r>
          </w:p>
        </w:tc>
      </w:tr>
      <w:tr>
        <w:tblPrEx>
          <w:tblCellMar>
            <w:top w:w="0" w:type="dxa"/>
            <w:left w:w="108" w:type="dxa"/>
            <w:bottom w:w="0" w:type="dxa"/>
            <w:right w:w="108" w:type="dxa"/>
          </w:tblCellMar>
        </w:tblPrEx>
        <w:trPr>
          <w:trHeight w:val="310" w:hRule="atLeast"/>
        </w:trPr>
        <w:tc>
          <w:tcPr>
            <w:tcW w:w="1075" w:type="pct"/>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合计</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1800</w:t>
            </w:r>
          </w:p>
        </w:tc>
        <w:tc>
          <w:tcPr>
            <w:tcW w:w="49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2"/>
                <w:sz w:val="24"/>
                <w:szCs w:val="28"/>
                <w:lang w:val="en-US" w:eastAsia="zh-CN" w:bidi="ar-SA"/>
              </w:rPr>
            </w:pPr>
            <w:r>
              <w:rPr>
                <w:rFonts w:hint="eastAsia" w:ascii="仿宋" w:hAnsi="仿宋" w:eastAsia="仿宋" w:cs="宋体"/>
                <w:sz w:val="24"/>
                <w:szCs w:val="28"/>
              </w:rPr>
              <w:t>1800</w:t>
            </w:r>
          </w:p>
        </w:tc>
        <w:tc>
          <w:tcPr>
            <w:tcW w:w="505"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1800</w:t>
            </w:r>
          </w:p>
        </w:tc>
        <w:tc>
          <w:tcPr>
            <w:tcW w:w="487"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1440</w:t>
            </w:r>
          </w:p>
        </w:tc>
        <w:tc>
          <w:tcPr>
            <w:tcW w:w="496"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1440</w:t>
            </w:r>
          </w:p>
        </w:tc>
        <w:tc>
          <w:tcPr>
            <w:tcW w:w="480"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360</w:t>
            </w:r>
          </w:p>
        </w:tc>
        <w:tc>
          <w:tcPr>
            <w:tcW w:w="462" w:type="pct"/>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360</w:t>
            </w:r>
          </w:p>
        </w:tc>
        <w:tc>
          <w:tcPr>
            <w:tcW w:w="501"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4"/>
                <w:szCs w:val="28"/>
              </w:rPr>
            </w:pPr>
            <w:r>
              <w:rPr>
                <w:rFonts w:hint="eastAsia" w:ascii="仿宋" w:hAnsi="仿宋" w:eastAsia="仿宋" w:cs="宋体"/>
                <w:sz w:val="24"/>
                <w:szCs w:val="28"/>
              </w:rPr>
              <w:t>9000</w:t>
            </w:r>
          </w:p>
        </w:tc>
      </w:tr>
    </w:tbl>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（四）调查问卷</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调查问卷的设计主要根据调查对象真实感受来评价对南京市基本公共卫生服务项目的知晓率和满意程度。居民调查问卷内容包括：</w:t>
      </w:r>
      <w:r>
        <w:rPr>
          <w:rFonts w:hint="eastAsia" w:ascii="仿宋" w:hAnsi="仿宋" w:eastAsia="仿宋" w:cs="宋体"/>
          <w:sz w:val="24"/>
          <w:szCs w:val="28"/>
          <w:lang w:val="en-US" w:eastAsia="zh-CN"/>
        </w:rPr>
        <w:t>家医签约人群、</w:t>
      </w:r>
      <w:r>
        <w:rPr>
          <w:rFonts w:hint="eastAsia" w:ascii="仿宋" w:hAnsi="仿宋" w:eastAsia="仿宋" w:cs="宋体"/>
          <w:sz w:val="24"/>
          <w:szCs w:val="28"/>
          <w:lang w:eastAsia="zh-CN"/>
        </w:rPr>
        <w:t>一般建档人群</w:t>
      </w:r>
      <w:r>
        <w:rPr>
          <w:rFonts w:hint="eastAsia" w:ascii="仿宋" w:hAnsi="仿宋" w:eastAsia="仿宋" w:cs="宋体"/>
          <w:sz w:val="24"/>
          <w:szCs w:val="28"/>
        </w:rPr>
        <w:t>、老年人健康管理、高血压患者、2型糖尿病患者、0-6岁儿童健康管理、孕产妇健康管理等基本公共卫生服务内容及家庭医生签约服务知晓、满意情况。</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（五）调查方法</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采用智能语音外呼系统（人工智能外呼平台）调查方法。</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（六）项目需求</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165"/>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序号</w:t>
            </w:r>
          </w:p>
        </w:tc>
        <w:tc>
          <w:tcPr>
            <w:tcW w:w="1270" w:type="pct"/>
            <w:vAlign w:val="center"/>
          </w:tcPr>
          <w:p>
            <w:pPr>
              <w:widowControl/>
              <w:jc w:val="left"/>
              <w:rPr>
                <w:rFonts w:ascii="仿宋" w:hAnsi="仿宋" w:eastAsia="仿宋" w:cs="宋体"/>
                <w:sz w:val="24"/>
                <w:szCs w:val="28"/>
                <w:lang w:eastAsia="zh-Hans"/>
              </w:rPr>
            </w:pPr>
            <w:r>
              <w:rPr>
                <w:rFonts w:hint="eastAsia" w:ascii="仿宋" w:hAnsi="仿宋" w:eastAsia="仿宋" w:cs="宋体"/>
                <w:sz w:val="24"/>
                <w:szCs w:val="28"/>
                <w:lang w:eastAsia="zh-Hans"/>
              </w:rPr>
              <w:t>功能</w:t>
            </w:r>
          </w:p>
        </w:tc>
        <w:tc>
          <w:tcPr>
            <w:tcW w:w="3297" w:type="pct"/>
            <w:vAlign w:val="center"/>
          </w:tcPr>
          <w:p>
            <w:pPr>
              <w:widowControl/>
              <w:jc w:val="left"/>
              <w:rPr>
                <w:rFonts w:ascii="仿宋" w:hAnsi="仿宋" w:eastAsia="仿宋" w:cs="宋体"/>
                <w:sz w:val="24"/>
                <w:szCs w:val="28"/>
                <w:lang w:eastAsia="zh-Hans"/>
              </w:rPr>
            </w:pPr>
            <w:r>
              <w:rPr>
                <w:rFonts w:hint="eastAsia" w:ascii="仿宋" w:hAnsi="仿宋" w:eastAsia="仿宋" w:cs="宋体"/>
                <w:sz w:val="24"/>
                <w:szCs w:val="28"/>
                <w:lang w:eastAsia="zh-Hans"/>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1</w:t>
            </w:r>
          </w:p>
        </w:tc>
        <w:tc>
          <w:tcPr>
            <w:tcW w:w="1270"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智能语音话术定制服务</w:t>
            </w:r>
          </w:p>
        </w:tc>
        <w:tc>
          <w:tcPr>
            <w:tcW w:w="3297"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包含</w:t>
            </w:r>
            <w:r>
              <w:rPr>
                <w:rFonts w:hint="eastAsia" w:ascii="仿宋" w:hAnsi="仿宋" w:eastAsia="仿宋"/>
                <w:sz w:val="24"/>
                <w:szCs w:val="28"/>
              </w:rPr>
              <w:t>基本公卫及家医签约</w:t>
            </w:r>
            <w:r>
              <w:rPr>
                <w:rFonts w:hint="eastAsia" w:ascii="仿宋" w:hAnsi="仿宋" w:eastAsia="仿宋" w:cs="宋体"/>
                <w:sz w:val="24"/>
                <w:szCs w:val="28"/>
              </w:rPr>
              <w:t>服务知晓率满意度或真实性智能语音电话拨打话术。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2</w:t>
            </w:r>
          </w:p>
        </w:tc>
        <w:tc>
          <w:tcPr>
            <w:tcW w:w="1270"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AI智能语音呼叫服务</w:t>
            </w:r>
          </w:p>
        </w:tc>
        <w:tc>
          <w:tcPr>
            <w:tcW w:w="3297"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系统可以按查询的人群调置话术并按设定的时间进行智能语音外呼，需对没有成功呼叫的居民进次二次呼叫。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3</w:t>
            </w:r>
          </w:p>
        </w:tc>
        <w:tc>
          <w:tcPr>
            <w:tcW w:w="1270"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AI智能语音存储或语音转文字</w:t>
            </w:r>
          </w:p>
        </w:tc>
        <w:tc>
          <w:tcPr>
            <w:tcW w:w="3297"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通话记录采用双通道语音转文字，并可以下载通话录音。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4</w:t>
            </w:r>
          </w:p>
        </w:tc>
        <w:tc>
          <w:tcPr>
            <w:tcW w:w="1270"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通话记录结果查看</w:t>
            </w:r>
          </w:p>
        </w:tc>
        <w:tc>
          <w:tcPr>
            <w:tcW w:w="3297"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可以实时查看智能语音外呼通话接通情况，</w:t>
            </w:r>
          </w:p>
          <w:p>
            <w:pPr>
              <w:widowControl/>
              <w:jc w:val="left"/>
              <w:rPr>
                <w:rFonts w:ascii="仿宋" w:hAnsi="仿宋" w:eastAsia="仿宋" w:cs="宋体"/>
                <w:sz w:val="24"/>
                <w:szCs w:val="28"/>
              </w:rPr>
            </w:pPr>
            <w:r>
              <w:rPr>
                <w:rFonts w:hint="eastAsia" w:ascii="仿宋" w:hAnsi="仿宋" w:eastAsia="仿宋" w:cs="宋体"/>
                <w:sz w:val="24"/>
                <w:szCs w:val="28"/>
              </w:rPr>
              <w:t>以及每个话术中的每个问题回答的结果，支持导出到excel里进行统计分析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5</w:t>
            </w:r>
          </w:p>
        </w:tc>
        <w:tc>
          <w:tcPr>
            <w:tcW w:w="1270"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数据导入外呼</w:t>
            </w:r>
          </w:p>
        </w:tc>
        <w:tc>
          <w:tcPr>
            <w:tcW w:w="3297"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支持按不同的数据导入模板导入数据进行智能语音外呼。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rPr>
            </w:pPr>
            <w:r>
              <w:rPr>
                <w:rFonts w:hint="eastAsia" w:ascii="仿宋" w:hAnsi="仿宋" w:eastAsia="仿宋" w:cs="宋体"/>
                <w:sz w:val="24"/>
                <w:szCs w:val="28"/>
              </w:rPr>
              <w:t>6</w:t>
            </w:r>
          </w:p>
        </w:tc>
        <w:tc>
          <w:tcPr>
            <w:tcW w:w="1270"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报告统计</w:t>
            </w:r>
          </w:p>
        </w:tc>
        <w:tc>
          <w:tcPr>
            <w:tcW w:w="3297" w:type="pct"/>
          </w:tcPr>
          <w:p>
            <w:pPr>
              <w:widowControl/>
              <w:jc w:val="left"/>
              <w:rPr>
                <w:rFonts w:ascii="仿宋" w:hAnsi="仿宋" w:eastAsia="仿宋" w:cs="宋体"/>
                <w:sz w:val="24"/>
                <w:szCs w:val="28"/>
              </w:rPr>
            </w:pPr>
            <w:r>
              <w:rPr>
                <w:rFonts w:hint="eastAsia" w:ascii="仿宋" w:hAnsi="仿宋" w:eastAsia="仿宋" w:cs="宋体"/>
                <w:sz w:val="24"/>
                <w:szCs w:val="28"/>
              </w:rPr>
              <w:t>通过系统查看报告统计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rPr>
            </w:pPr>
            <w:r>
              <w:rPr>
                <w:rFonts w:hint="eastAsia" w:ascii="仿宋" w:hAnsi="仿宋" w:eastAsia="仿宋" w:cs="宋体"/>
                <w:sz w:val="24"/>
                <w:szCs w:val="28"/>
              </w:rPr>
              <w:t>7</w:t>
            </w:r>
          </w:p>
        </w:tc>
        <w:tc>
          <w:tcPr>
            <w:tcW w:w="1270"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语音通话量</w:t>
            </w:r>
          </w:p>
        </w:tc>
        <w:tc>
          <w:tcPr>
            <w:tcW w:w="3297"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60000通有效调查量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widowControl/>
              <w:jc w:val="center"/>
              <w:rPr>
                <w:rFonts w:ascii="仿宋" w:hAnsi="仿宋" w:eastAsia="仿宋" w:cs="宋体"/>
                <w:sz w:val="24"/>
                <w:szCs w:val="28"/>
              </w:rPr>
            </w:pPr>
            <w:r>
              <w:rPr>
                <w:rFonts w:hint="eastAsia" w:ascii="仿宋" w:hAnsi="仿宋" w:eastAsia="仿宋" w:cs="宋体"/>
                <w:sz w:val="24"/>
                <w:szCs w:val="28"/>
              </w:rPr>
              <w:t>8</w:t>
            </w:r>
          </w:p>
        </w:tc>
        <w:tc>
          <w:tcPr>
            <w:tcW w:w="1270"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短信通知</w:t>
            </w:r>
          </w:p>
        </w:tc>
        <w:tc>
          <w:tcPr>
            <w:tcW w:w="3297"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对10万调查对象发送电话调查通知</w:t>
            </w:r>
          </w:p>
        </w:tc>
      </w:tr>
    </w:tbl>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（七）演示内容</w:t>
      </w:r>
      <w:r>
        <w:rPr>
          <w:rFonts w:hint="eastAsia" w:ascii="仿宋" w:hAnsi="仿宋" w:eastAsia="仿宋" w:cs="宋体"/>
          <w:b w:val="0"/>
          <w:bCs w:val="0"/>
          <w:kern w:val="2"/>
          <w:sz w:val="24"/>
          <w:szCs w:val="28"/>
          <w:highlight w:val="none"/>
          <w:lang w:val="en-US" w:eastAsia="zh-CN" w:bidi="ar-SA"/>
        </w:rPr>
        <w:t>（演示时间不超过10分钟）</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6" w:type="pct"/>
            <w:noWrap/>
            <w:vAlign w:val="center"/>
          </w:tcPr>
          <w:p>
            <w:pPr>
              <w:widowControl/>
              <w:jc w:val="left"/>
              <w:rPr>
                <w:rFonts w:ascii="仿宋" w:hAnsi="仿宋" w:eastAsia="仿宋" w:cs="宋体"/>
                <w:sz w:val="24"/>
                <w:szCs w:val="28"/>
              </w:rPr>
            </w:pPr>
            <w:r>
              <w:rPr>
                <w:rFonts w:hint="eastAsia" w:ascii="仿宋" w:hAnsi="仿宋" w:eastAsia="仿宋" w:cs="宋体"/>
                <w:sz w:val="24"/>
                <w:szCs w:val="28"/>
              </w:rPr>
              <w:t>序号</w:t>
            </w:r>
          </w:p>
        </w:tc>
        <w:tc>
          <w:tcPr>
            <w:tcW w:w="4223" w:type="pct"/>
            <w:noWrap/>
            <w:vAlign w:val="center"/>
          </w:tcPr>
          <w:p>
            <w:pPr>
              <w:widowControl/>
              <w:jc w:val="left"/>
              <w:rPr>
                <w:rFonts w:ascii="仿宋" w:hAnsi="仿宋" w:eastAsia="仿宋" w:cs="宋体"/>
                <w:sz w:val="24"/>
                <w:szCs w:val="28"/>
              </w:rPr>
            </w:pPr>
            <w:r>
              <w:rPr>
                <w:rFonts w:hint="eastAsia" w:ascii="仿宋" w:hAnsi="仿宋" w:eastAsia="仿宋" w:cs="宋体"/>
                <w:sz w:val="24"/>
                <w:szCs w:val="28"/>
              </w:rPr>
              <w:t>详细演示要求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6" w:type="pct"/>
            <w:noWrap/>
            <w:vAlign w:val="center"/>
          </w:tcPr>
          <w:p>
            <w:pPr>
              <w:widowControl/>
              <w:jc w:val="left"/>
              <w:rPr>
                <w:rFonts w:ascii="仿宋" w:hAnsi="仿宋" w:eastAsia="仿宋" w:cs="宋体"/>
                <w:sz w:val="24"/>
                <w:szCs w:val="28"/>
              </w:rPr>
            </w:pPr>
            <w:r>
              <w:rPr>
                <w:rFonts w:hint="eastAsia" w:ascii="仿宋" w:hAnsi="仿宋" w:eastAsia="仿宋" w:cs="宋体"/>
                <w:sz w:val="24"/>
                <w:szCs w:val="28"/>
              </w:rPr>
              <w:t>演示第1项</w:t>
            </w:r>
          </w:p>
        </w:tc>
        <w:tc>
          <w:tcPr>
            <w:tcW w:w="4223" w:type="pct"/>
          </w:tcPr>
          <w:p>
            <w:pPr>
              <w:widowControl/>
              <w:jc w:val="left"/>
              <w:rPr>
                <w:rFonts w:ascii="仿宋" w:hAnsi="仿宋" w:eastAsia="仿宋" w:cs="宋体"/>
                <w:sz w:val="24"/>
                <w:szCs w:val="28"/>
              </w:rPr>
            </w:pPr>
            <w:r>
              <w:rPr>
                <w:rFonts w:hint="eastAsia" w:ascii="仿宋" w:hAnsi="仿宋" w:eastAsia="仿宋" w:cs="宋体"/>
                <w:sz w:val="24"/>
                <w:szCs w:val="28"/>
              </w:rPr>
              <w:t>演示健康档案人群电话拨打</w:t>
            </w:r>
          </w:p>
          <w:p>
            <w:pPr>
              <w:widowControl/>
              <w:jc w:val="left"/>
              <w:rPr>
                <w:rFonts w:ascii="仿宋" w:hAnsi="仿宋" w:eastAsia="仿宋" w:cs="宋体"/>
                <w:sz w:val="24"/>
                <w:szCs w:val="28"/>
              </w:rPr>
            </w:pPr>
            <w:r>
              <w:rPr>
                <w:rFonts w:hint="eastAsia" w:ascii="仿宋" w:hAnsi="仿宋" w:eastAsia="仿宋" w:cs="宋体"/>
                <w:sz w:val="24"/>
                <w:szCs w:val="28"/>
              </w:rPr>
              <w:t>（展示健康档案人群电话拨打页面显示包含所属机构、所属人群、常住类型、年龄段、建档日期、签约情况、签约到期日期、责任医生、签约医生、姓名、性别、电话、签约日期、最近通话时间筛选字段。列表内容显示最近通话时间、最近接听状态、已外呼次数，已接通次数字段。电话和联系人电话可直接点击人工拨打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6" w:type="pct"/>
            <w:noWrap/>
            <w:vAlign w:val="center"/>
          </w:tcPr>
          <w:p>
            <w:pPr>
              <w:widowControl/>
              <w:jc w:val="left"/>
              <w:rPr>
                <w:rFonts w:ascii="仿宋" w:hAnsi="仿宋" w:eastAsia="仿宋" w:cs="宋体"/>
                <w:sz w:val="24"/>
                <w:szCs w:val="28"/>
              </w:rPr>
            </w:pPr>
            <w:r>
              <w:rPr>
                <w:rFonts w:hint="eastAsia" w:ascii="仿宋" w:hAnsi="仿宋" w:eastAsia="仿宋" w:cs="宋体"/>
                <w:sz w:val="24"/>
                <w:szCs w:val="28"/>
              </w:rPr>
              <w:t>演示第2项</w:t>
            </w:r>
          </w:p>
        </w:tc>
        <w:tc>
          <w:tcPr>
            <w:tcW w:w="4223" w:type="pct"/>
          </w:tcPr>
          <w:p>
            <w:pPr>
              <w:widowControl/>
              <w:jc w:val="left"/>
              <w:rPr>
                <w:rFonts w:ascii="仿宋" w:hAnsi="仿宋" w:eastAsia="仿宋" w:cs="宋体"/>
                <w:sz w:val="24"/>
                <w:szCs w:val="28"/>
              </w:rPr>
            </w:pPr>
            <w:r>
              <w:rPr>
                <w:rFonts w:hint="eastAsia" w:ascii="仿宋" w:hAnsi="仿宋" w:eastAsia="仿宋" w:cs="宋体"/>
                <w:sz w:val="24"/>
                <w:szCs w:val="28"/>
              </w:rPr>
              <w:t>演示老年人人群电话拨打</w:t>
            </w:r>
          </w:p>
          <w:p>
            <w:pPr>
              <w:widowControl/>
              <w:jc w:val="left"/>
              <w:rPr>
                <w:rFonts w:ascii="仿宋" w:hAnsi="仿宋" w:eastAsia="仿宋" w:cs="宋体"/>
                <w:sz w:val="24"/>
                <w:szCs w:val="28"/>
              </w:rPr>
            </w:pPr>
            <w:r>
              <w:rPr>
                <w:rFonts w:hint="eastAsia" w:ascii="仿宋" w:hAnsi="仿宋" w:eastAsia="仿宋" w:cs="宋体"/>
                <w:sz w:val="24"/>
                <w:szCs w:val="28"/>
              </w:rPr>
              <w:t>（展示老年人人群电话拨打页面显示包含所属机构、所属人群、体检情况、中医药体质辨识、建档日期、责任医生、签约医生、电话、最近通话时间筛选字段。列表内容显示最近通话时间、最近接听状态、已外呼次数，已接通次数字段。电话和联系人电话可直接点击人工拨打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6" w:type="pct"/>
            <w:noWrap/>
            <w:vAlign w:val="center"/>
          </w:tcPr>
          <w:p>
            <w:pPr>
              <w:widowControl/>
              <w:jc w:val="left"/>
              <w:rPr>
                <w:rFonts w:ascii="仿宋" w:hAnsi="仿宋" w:eastAsia="仿宋" w:cs="宋体"/>
                <w:sz w:val="24"/>
                <w:szCs w:val="28"/>
              </w:rPr>
            </w:pPr>
            <w:r>
              <w:rPr>
                <w:rFonts w:hint="eastAsia" w:ascii="仿宋" w:hAnsi="仿宋" w:eastAsia="仿宋" w:cs="宋体"/>
                <w:sz w:val="24"/>
                <w:szCs w:val="28"/>
              </w:rPr>
              <w:t>演示第3项</w:t>
            </w:r>
          </w:p>
        </w:tc>
        <w:tc>
          <w:tcPr>
            <w:tcW w:w="4223" w:type="pct"/>
          </w:tcPr>
          <w:p>
            <w:pPr>
              <w:widowControl/>
              <w:jc w:val="left"/>
              <w:rPr>
                <w:rFonts w:ascii="仿宋" w:hAnsi="仿宋" w:eastAsia="仿宋" w:cs="宋体"/>
                <w:sz w:val="24"/>
                <w:szCs w:val="28"/>
              </w:rPr>
            </w:pPr>
            <w:r>
              <w:rPr>
                <w:rFonts w:hint="eastAsia" w:ascii="仿宋" w:hAnsi="仿宋" w:eastAsia="仿宋" w:cs="宋体"/>
                <w:sz w:val="24"/>
                <w:szCs w:val="28"/>
              </w:rPr>
              <w:t>演示高血压人群电话拨打</w:t>
            </w:r>
          </w:p>
          <w:p>
            <w:pPr>
              <w:widowControl/>
              <w:jc w:val="left"/>
              <w:rPr>
                <w:rFonts w:ascii="仿宋" w:hAnsi="仿宋" w:eastAsia="仿宋" w:cs="宋体"/>
                <w:sz w:val="24"/>
                <w:szCs w:val="28"/>
              </w:rPr>
            </w:pPr>
            <w:r>
              <w:rPr>
                <w:rFonts w:hint="eastAsia" w:ascii="仿宋" w:hAnsi="仿宋" w:eastAsia="仿宋" w:cs="宋体"/>
                <w:sz w:val="24"/>
                <w:szCs w:val="28"/>
              </w:rPr>
              <w:t>（展示高血压人群电话拨打页面显示包含所属机构、高血压随访、体检情况、所属人群、下次随访日期、血压控制情况、建档日期、责任医生、签约医生、电话、最近通话时间筛选字段。列表内容显示本年度随访次数、最近随访方式、最近随访时间、最近随访血压值、血压控制情况、最近通话时间、已外呼次数，已接通次数字段。电话和联系人电话可直接点击人工拨打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6" w:type="pct"/>
            <w:noWrap/>
            <w:vAlign w:val="center"/>
          </w:tcPr>
          <w:p>
            <w:pPr>
              <w:widowControl/>
              <w:jc w:val="left"/>
              <w:rPr>
                <w:rFonts w:ascii="仿宋" w:hAnsi="仿宋" w:eastAsia="仿宋" w:cs="宋体"/>
                <w:sz w:val="24"/>
                <w:szCs w:val="28"/>
              </w:rPr>
            </w:pPr>
            <w:r>
              <w:rPr>
                <w:rFonts w:hint="eastAsia" w:ascii="仿宋" w:hAnsi="仿宋" w:eastAsia="仿宋" w:cs="宋体"/>
                <w:sz w:val="24"/>
                <w:szCs w:val="28"/>
              </w:rPr>
              <w:t>演示第4项</w:t>
            </w:r>
          </w:p>
        </w:tc>
        <w:tc>
          <w:tcPr>
            <w:tcW w:w="4223"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演示糖尿病人群电话拨打</w:t>
            </w:r>
          </w:p>
          <w:p>
            <w:pPr>
              <w:widowControl/>
              <w:jc w:val="left"/>
              <w:rPr>
                <w:rFonts w:ascii="仿宋" w:hAnsi="仿宋" w:eastAsia="仿宋" w:cs="宋体"/>
                <w:sz w:val="24"/>
                <w:szCs w:val="28"/>
              </w:rPr>
            </w:pPr>
            <w:r>
              <w:rPr>
                <w:rFonts w:hint="eastAsia" w:ascii="仿宋" w:hAnsi="仿宋" w:eastAsia="仿宋" w:cs="宋体"/>
                <w:sz w:val="24"/>
                <w:szCs w:val="28"/>
              </w:rPr>
              <w:t>（展示糖尿病人群电话拨打页面显示包含所属机构、糖尿病随访、体检情况、所属人群、下次随访日期、血糖控制情况、建档日期、责任医生、签约医生、电话、最近通话时间筛选字段。列表内容显示本年度随访次数、最近随访方式、最近随访时间、最近随访血糖值、血糖控制情况、最近通话时间、已外呼次数，已接通次数字段。电话和联系人电话可直接点击人工拨打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6" w:type="pct"/>
            <w:noWrap/>
            <w:vAlign w:val="center"/>
          </w:tcPr>
          <w:p>
            <w:pPr>
              <w:widowControl/>
              <w:jc w:val="left"/>
              <w:rPr>
                <w:rFonts w:ascii="仿宋" w:hAnsi="仿宋" w:eastAsia="仿宋" w:cs="宋体"/>
                <w:sz w:val="24"/>
                <w:szCs w:val="28"/>
              </w:rPr>
            </w:pPr>
            <w:r>
              <w:rPr>
                <w:rFonts w:hint="eastAsia" w:ascii="仿宋" w:hAnsi="仿宋" w:eastAsia="仿宋" w:cs="宋体"/>
                <w:sz w:val="24"/>
                <w:szCs w:val="28"/>
              </w:rPr>
              <w:t>演示第5项</w:t>
            </w:r>
          </w:p>
        </w:tc>
        <w:tc>
          <w:tcPr>
            <w:tcW w:w="4223" w:type="pct"/>
            <w:vAlign w:val="center"/>
          </w:tcPr>
          <w:p>
            <w:pPr>
              <w:widowControl/>
              <w:jc w:val="left"/>
              <w:rPr>
                <w:rFonts w:ascii="仿宋" w:hAnsi="仿宋" w:eastAsia="仿宋" w:cs="宋体"/>
                <w:sz w:val="24"/>
                <w:szCs w:val="28"/>
              </w:rPr>
            </w:pPr>
            <w:r>
              <w:rPr>
                <w:rFonts w:hint="eastAsia" w:ascii="仿宋" w:hAnsi="仿宋" w:eastAsia="仿宋" w:cs="宋体"/>
                <w:sz w:val="24"/>
                <w:szCs w:val="28"/>
              </w:rPr>
              <w:t>演示通话录音详情查看</w:t>
            </w:r>
          </w:p>
          <w:p>
            <w:pPr>
              <w:widowControl/>
              <w:jc w:val="left"/>
              <w:rPr>
                <w:rFonts w:ascii="仿宋" w:hAnsi="仿宋" w:eastAsia="仿宋" w:cs="宋体"/>
                <w:sz w:val="24"/>
                <w:szCs w:val="28"/>
              </w:rPr>
            </w:pPr>
            <w:r>
              <w:rPr>
                <w:rFonts w:hint="eastAsia" w:ascii="仿宋" w:hAnsi="仿宋" w:eastAsia="仿宋" w:cs="宋体"/>
                <w:sz w:val="24"/>
                <w:szCs w:val="28"/>
              </w:rPr>
              <w:t>（展示录音文件下载、录音转文字、录音转文字区分主叫与被叫、点击文本可以自动跳动到播放位置进行播放）</w:t>
            </w:r>
          </w:p>
        </w:tc>
      </w:tr>
    </w:tbl>
    <w:p>
      <w:pPr>
        <w:pStyle w:val="3"/>
        <w:spacing w:line="360" w:lineRule="auto"/>
        <w:rPr>
          <w:rFonts w:ascii="仿宋" w:hAnsi="仿宋" w:eastAsia="仿宋" w:cs="宋体"/>
          <w:b w:val="0"/>
          <w:bCs w:val="0"/>
          <w:sz w:val="24"/>
          <w:szCs w:val="28"/>
        </w:rPr>
      </w:pPr>
      <w:r>
        <w:rPr>
          <w:rFonts w:hint="eastAsia" w:ascii="仿宋" w:hAnsi="仿宋" w:eastAsia="仿宋" w:cs="宋体"/>
          <w:sz w:val="24"/>
          <w:szCs w:val="28"/>
        </w:rPr>
        <w:t>四、服务实施保密要求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（1）成交供应商加强内部保密和数据安全管理，因中标人造成的数据泄密、网络与数据安全问题，由中标人承担所有责任。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数据进行严格保密，未经授权不得泄露给任何单位和个人，不得利用此数据进行任何侵害本服务涉及和相关的任何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服务成员与采购人的保密协议草拟本。中标后，中标人参与本服务的人员，必须与采购人签订保密协议，约束服务成员的保密义务，并严格控制本服务的数据扩散范围只在该小组成员为了完成监理服务工作所必需知道的最少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（5）中标人在本服务中所获取的相关数据和产生的报告，必须提供给采购人指定人员，不得随意扩散。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pStyle w:val="3"/>
        <w:spacing w:line="360" w:lineRule="auto"/>
        <w:rPr>
          <w:rFonts w:hint="eastAsia" w:ascii="仿宋" w:hAnsi="仿宋" w:eastAsia="仿宋" w:cs="宋体"/>
          <w:sz w:val="24"/>
          <w:szCs w:val="28"/>
          <w:lang w:val="en-US" w:eastAsia="zh-CN"/>
        </w:rPr>
      </w:pPr>
      <w:r>
        <w:rPr>
          <w:rFonts w:hint="eastAsia" w:ascii="仿宋" w:hAnsi="仿宋" w:eastAsia="仿宋" w:cs="宋体"/>
          <w:sz w:val="24"/>
          <w:szCs w:val="28"/>
        </w:rPr>
        <w:t>五、付款</w:t>
      </w:r>
      <w:r>
        <w:rPr>
          <w:rFonts w:hint="eastAsia" w:ascii="仿宋" w:hAnsi="仿宋" w:eastAsia="仿宋" w:cs="宋体"/>
          <w:sz w:val="24"/>
          <w:szCs w:val="28"/>
          <w:lang w:val="en-US" w:eastAsia="zh-CN"/>
        </w:rPr>
        <w:t>方式</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（1）合同签订并生效后15个工作日内，甲方向乙方支付合同总额的50%；</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（2）在乙方完成第一次调查并提交调查报告，验收合格后，60日内甲方向乙方支付合同总额的剩余50%。</w:t>
      </w:r>
      <w:r>
        <w:rPr>
          <w:rFonts w:hint="eastAsia" w:ascii="仿宋" w:hAnsi="仿宋" w:eastAsia="仿宋" w:cs="宋体"/>
          <w:sz w:val="24"/>
          <w:szCs w:val="28"/>
        </w:rPr>
        <w:br w:type="page"/>
      </w: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（服务名称）</w:t>
      </w:r>
    </w:p>
    <w:p>
      <w:pPr>
        <w:widowControl/>
        <w:jc w:val="left"/>
      </w:pPr>
    </w:p>
    <w:p>
      <w:pPr>
        <w:pStyle w:val="27"/>
        <w:ind w:firstLine="420"/>
        <w:rPr>
          <w:lang w:val="en-US"/>
        </w:rPr>
      </w:pPr>
    </w:p>
    <w:p>
      <w:pPr>
        <w:pStyle w:val="27"/>
        <w:ind w:firstLine="420"/>
        <w:rPr>
          <w:lang w:val="en-US"/>
        </w:rPr>
      </w:pPr>
    </w:p>
    <w:p>
      <w:pPr>
        <w:pStyle w:val="27"/>
        <w:ind w:firstLine="420"/>
        <w:rPr>
          <w:lang w:val="en-US"/>
        </w:rPr>
      </w:pPr>
    </w:p>
    <w:p>
      <w:pPr>
        <w:pStyle w:val="27"/>
        <w:ind w:firstLine="420"/>
        <w:rPr>
          <w:lang w:val="en-US"/>
        </w:rPr>
      </w:pPr>
    </w:p>
    <w:p>
      <w:pPr>
        <w:pStyle w:val="27"/>
        <w:ind w:firstLine="420"/>
        <w:rPr>
          <w:lang w:val="en-US"/>
        </w:rPr>
      </w:pPr>
    </w:p>
    <w:p>
      <w:pPr>
        <w:pStyle w:val="27"/>
        <w:ind w:firstLine="420"/>
        <w:rPr>
          <w:lang w:val="en-US"/>
        </w:rPr>
      </w:pPr>
    </w:p>
    <w:p>
      <w:pPr>
        <w:pStyle w:val="27"/>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7"/>
        <w:ind w:firstLine="560"/>
        <w:rPr>
          <w:rFonts w:ascii="黑体" w:hAnsi="宋体" w:eastAsia="黑体" w:cs="黑体"/>
          <w:color w:val="000000"/>
          <w:kern w:val="0"/>
          <w:sz w:val="28"/>
          <w:szCs w:val="28"/>
          <w:lang w:val="en-US"/>
        </w:rPr>
      </w:pPr>
    </w:p>
    <w:p>
      <w:pPr>
        <w:pStyle w:val="27"/>
        <w:ind w:firstLine="560"/>
        <w:rPr>
          <w:rFonts w:ascii="黑体" w:hAnsi="宋体" w:eastAsia="黑体" w:cs="黑体"/>
          <w:color w:val="000000"/>
          <w:kern w:val="0"/>
          <w:sz w:val="28"/>
          <w:szCs w:val="28"/>
          <w:lang w:val="en-US"/>
        </w:rPr>
      </w:pPr>
    </w:p>
    <w:p>
      <w:pPr>
        <w:pStyle w:val="27"/>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服务名称）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3、本服务交付时间为：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（服务名称），              （服务编号）投标，以本公司名义处理一切与之有关的事务。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（可自拟）</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22"/>
        <w:tblW w:w="9538" w:type="dxa"/>
        <w:tblInd w:w="-789" w:type="dxa"/>
        <w:tblLayout w:type="fixed"/>
        <w:tblCellMar>
          <w:top w:w="0" w:type="dxa"/>
          <w:left w:w="0" w:type="dxa"/>
          <w:bottom w:w="0" w:type="dxa"/>
          <w:right w:w="0" w:type="dxa"/>
        </w:tblCellMar>
      </w:tblPr>
      <w:tblGrid>
        <w:gridCol w:w="2037"/>
        <w:gridCol w:w="3100"/>
        <w:gridCol w:w="4401"/>
      </w:tblGrid>
      <w:tr>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8"/>
              <w:adjustRightInd w:val="0"/>
              <w:snapToGrid w:val="0"/>
              <w:spacing w:line="360" w:lineRule="auto"/>
              <w:ind w:firstLine="0" w:firstLineChars="0"/>
              <w:jc w:val="center"/>
              <w:rPr>
                <w:rFonts w:eastAsia="微软雅黑"/>
                <w:kern w:val="0"/>
                <w:sz w:val="22"/>
              </w:rPr>
            </w:pPr>
            <w:r>
              <w:rPr>
                <w:rFonts w:hint="eastAsia" w:ascii="宋体" w:hAnsi="宋体" w:eastAsia="宋体" w:cs="宋体"/>
                <w:sz w:val="21"/>
                <w:szCs w:val="21"/>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p>
        </w:tc>
      </w:tr>
      <w:tr>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adjustRightInd w:val="0"/>
              <w:snapToGrid w:val="0"/>
              <w:spacing w:line="440" w:lineRule="exact"/>
              <w:jc w:val="center"/>
              <w:rPr>
                <w:rFonts w:ascii="宋体" w:hAnsi="宋体" w:cs="宋体"/>
              </w:rPr>
            </w:pPr>
            <w:r>
              <w:rPr>
                <w:rFonts w:hint="eastAsia" w:ascii="宋体" w:hAnsi="宋体" w:cs="宋体"/>
              </w:rPr>
              <w:t>投标人是否属于</w:t>
            </w:r>
          </w:p>
          <w:p>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pPr>
        <w:widowControl/>
        <w:shd w:val="clear" w:color="auto" w:fill="FFFFFF"/>
        <w:spacing w:line="360" w:lineRule="auto"/>
        <w:jc w:val="left"/>
        <w:rPr>
          <w:rFonts w:ascii="宋体" w:hAnsi="宋体" w:cs="宋体"/>
          <w:kern w:val="0"/>
        </w:rPr>
      </w:pPr>
    </w:p>
    <w:p>
      <w:pPr>
        <w:widowControl/>
        <w:shd w:val="clear" w:color="auto" w:fill="FFFFFF"/>
        <w:spacing w:line="360" w:lineRule="auto"/>
        <w:jc w:val="left"/>
        <w:rPr>
          <w:rFonts w:ascii="宋体" w:hAnsi="宋体" w:cs="宋体"/>
          <w:kern w:val="0"/>
        </w:rPr>
      </w:pPr>
      <w:r>
        <w:rPr>
          <w:rFonts w:hint="eastAsia" w:ascii="宋体" w:hAnsi="宋体" w:cs="宋体"/>
          <w:kern w:val="0"/>
        </w:rPr>
        <w:t>说明：</w:t>
      </w:r>
    </w:p>
    <w:p>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供应商应针对本服务采购需求特点，自行编制包含但不限于以下内容的实施方案：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实施的总体方案、技术服务实施方案、质量保障方案、进度计划安排、验收方案、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pStyle w:val="27"/>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7"/>
        <w:ind w:firstLine="420"/>
        <w:rPr>
          <w:rFonts w:ascii="宋体" w:hAnsi="宋体" w:cs="宋体"/>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pStyle w:val="27"/>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pStyle w:val="27"/>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7"/>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2C8D9"/>
    <w:multiLevelType w:val="multilevel"/>
    <w:tmpl w:val="C242C8D9"/>
    <w:lvl w:ilvl="0" w:tentative="0">
      <w:start w:val="1"/>
      <w:numFmt w:val="decimal"/>
      <w:suff w:val="space"/>
      <w:lvlText w:val="%1"/>
      <w:lvlJc w:val="left"/>
      <w:pPr>
        <w:ind w:left="425" w:hanging="425"/>
      </w:pPr>
      <w:rPr>
        <w:rFonts w:hint="eastAsia"/>
      </w:rPr>
    </w:lvl>
    <w:lvl w:ilvl="1" w:tentative="0">
      <w:start w:val="1"/>
      <w:numFmt w:val="decimal"/>
      <w:suff w:val="space"/>
      <w:lvlText w:val="%1.%2"/>
      <w:lvlJc w:val="left"/>
      <w:pPr>
        <w:ind w:left="992" w:hanging="992"/>
      </w:pPr>
      <w:rPr>
        <w:rFonts w:hint="eastAsia" w:ascii="等线" w:hAnsi="等线" w:eastAsia="等线"/>
        <w:b/>
        <w:bCs/>
      </w:rPr>
    </w:lvl>
    <w:lvl w:ilvl="2" w:tentative="0">
      <w:start w:val="1"/>
      <w:numFmt w:val="decimal"/>
      <w:suff w:val="space"/>
      <w:lvlText w:val="%1.%2.%3"/>
      <w:lvlJc w:val="left"/>
      <w:pPr>
        <w:ind w:left="1418" w:hanging="1418"/>
      </w:pPr>
      <w:rPr>
        <w:rFonts w:hint="eastAsia"/>
      </w:rPr>
    </w:lvl>
    <w:lvl w:ilvl="3" w:tentative="0">
      <w:start w:val="1"/>
      <w:numFmt w:val="decimal"/>
      <w:pStyle w:val="6"/>
      <w:suff w:val="space"/>
      <w:lvlText w:val="%1.%2.%3.%4"/>
      <w:lvlJc w:val="left"/>
      <w:pPr>
        <w:ind w:left="1984" w:hanging="1984"/>
      </w:pPr>
      <w:rPr>
        <w:rFonts w:hint="eastAsia" w:ascii="等线" w:hAnsi="等线" w:eastAsia="等线"/>
        <w:b/>
        <w:bCs/>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026F148"/>
    <w:multiLevelType w:val="singleLevel"/>
    <w:tmpl w:val="4026F14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029C4"/>
    <w:rsid w:val="000035E0"/>
    <w:rsid w:val="00022E3C"/>
    <w:rsid w:val="0003080A"/>
    <w:rsid w:val="000312DE"/>
    <w:rsid w:val="000333A5"/>
    <w:rsid w:val="00036F7C"/>
    <w:rsid w:val="000423E6"/>
    <w:rsid w:val="000440C8"/>
    <w:rsid w:val="000451D2"/>
    <w:rsid w:val="0004645D"/>
    <w:rsid w:val="000474D5"/>
    <w:rsid w:val="00047A46"/>
    <w:rsid w:val="00055A7A"/>
    <w:rsid w:val="0005737B"/>
    <w:rsid w:val="00057D99"/>
    <w:rsid w:val="00062930"/>
    <w:rsid w:val="00066BAC"/>
    <w:rsid w:val="0007085A"/>
    <w:rsid w:val="000726D8"/>
    <w:rsid w:val="00087F17"/>
    <w:rsid w:val="000915D4"/>
    <w:rsid w:val="00091885"/>
    <w:rsid w:val="000A1467"/>
    <w:rsid w:val="000A6769"/>
    <w:rsid w:val="000A7235"/>
    <w:rsid w:val="000D3B95"/>
    <w:rsid w:val="000D5040"/>
    <w:rsid w:val="000D6508"/>
    <w:rsid w:val="000E205D"/>
    <w:rsid w:val="001079A4"/>
    <w:rsid w:val="00110BD8"/>
    <w:rsid w:val="0011462A"/>
    <w:rsid w:val="00151C8B"/>
    <w:rsid w:val="00160825"/>
    <w:rsid w:val="00173F12"/>
    <w:rsid w:val="0018016E"/>
    <w:rsid w:val="00187965"/>
    <w:rsid w:val="00192356"/>
    <w:rsid w:val="00192906"/>
    <w:rsid w:val="001A0BD6"/>
    <w:rsid w:val="001A2B0F"/>
    <w:rsid w:val="001A52F0"/>
    <w:rsid w:val="001A53F6"/>
    <w:rsid w:val="001C4017"/>
    <w:rsid w:val="001C4B6D"/>
    <w:rsid w:val="001D1641"/>
    <w:rsid w:val="001E7714"/>
    <w:rsid w:val="001F0B63"/>
    <w:rsid w:val="00221606"/>
    <w:rsid w:val="002364BA"/>
    <w:rsid w:val="00244094"/>
    <w:rsid w:val="00246690"/>
    <w:rsid w:val="00246B65"/>
    <w:rsid w:val="002547B7"/>
    <w:rsid w:val="002649B1"/>
    <w:rsid w:val="00272AB0"/>
    <w:rsid w:val="00274F1F"/>
    <w:rsid w:val="0028478E"/>
    <w:rsid w:val="002855A6"/>
    <w:rsid w:val="002B17BC"/>
    <w:rsid w:val="002B30E8"/>
    <w:rsid w:val="002B6DAE"/>
    <w:rsid w:val="002C1C68"/>
    <w:rsid w:val="002C4775"/>
    <w:rsid w:val="002C56F4"/>
    <w:rsid w:val="002D21DA"/>
    <w:rsid w:val="002D5C7A"/>
    <w:rsid w:val="002E2AC8"/>
    <w:rsid w:val="002F1782"/>
    <w:rsid w:val="002F3EB2"/>
    <w:rsid w:val="002F4172"/>
    <w:rsid w:val="003015F8"/>
    <w:rsid w:val="00301B3F"/>
    <w:rsid w:val="00305E0A"/>
    <w:rsid w:val="00307567"/>
    <w:rsid w:val="00313DC9"/>
    <w:rsid w:val="00317BDE"/>
    <w:rsid w:val="00317E41"/>
    <w:rsid w:val="00321D44"/>
    <w:rsid w:val="00322E12"/>
    <w:rsid w:val="00341C12"/>
    <w:rsid w:val="00346DAC"/>
    <w:rsid w:val="003545D5"/>
    <w:rsid w:val="00357281"/>
    <w:rsid w:val="003643BE"/>
    <w:rsid w:val="00364420"/>
    <w:rsid w:val="0037220D"/>
    <w:rsid w:val="00381B4D"/>
    <w:rsid w:val="0038670E"/>
    <w:rsid w:val="003A0FA7"/>
    <w:rsid w:val="003B4444"/>
    <w:rsid w:val="003C17EE"/>
    <w:rsid w:val="003D04C7"/>
    <w:rsid w:val="003D07F4"/>
    <w:rsid w:val="003D146B"/>
    <w:rsid w:val="003D3453"/>
    <w:rsid w:val="003D5771"/>
    <w:rsid w:val="003D690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B0417"/>
    <w:rsid w:val="004B79A5"/>
    <w:rsid w:val="004C5297"/>
    <w:rsid w:val="004D1EEE"/>
    <w:rsid w:val="004D6B10"/>
    <w:rsid w:val="004E0168"/>
    <w:rsid w:val="004E58AB"/>
    <w:rsid w:val="004F0CA3"/>
    <w:rsid w:val="004F449A"/>
    <w:rsid w:val="004F66CE"/>
    <w:rsid w:val="00507221"/>
    <w:rsid w:val="0051643B"/>
    <w:rsid w:val="005279D2"/>
    <w:rsid w:val="00534F4E"/>
    <w:rsid w:val="00552395"/>
    <w:rsid w:val="00556FCF"/>
    <w:rsid w:val="0058088E"/>
    <w:rsid w:val="00581584"/>
    <w:rsid w:val="00581E7B"/>
    <w:rsid w:val="00587BD5"/>
    <w:rsid w:val="005902A4"/>
    <w:rsid w:val="00591415"/>
    <w:rsid w:val="005A5639"/>
    <w:rsid w:val="005B4DBA"/>
    <w:rsid w:val="005B5C3A"/>
    <w:rsid w:val="005C279A"/>
    <w:rsid w:val="005D6AAF"/>
    <w:rsid w:val="005E6C33"/>
    <w:rsid w:val="005E6E76"/>
    <w:rsid w:val="005F0170"/>
    <w:rsid w:val="005F1EC0"/>
    <w:rsid w:val="0062399F"/>
    <w:rsid w:val="00637BEB"/>
    <w:rsid w:val="006648F8"/>
    <w:rsid w:val="00672B4B"/>
    <w:rsid w:val="00682D95"/>
    <w:rsid w:val="00685C71"/>
    <w:rsid w:val="00686C3A"/>
    <w:rsid w:val="006939FC"/>
    <w:rsid w:val="00696EFD"/>
    <w:rsid w:val="006A3FE7"/>
    <w:rsid w:val="006A7F3B"/>
    <w:rsid w:val="006B2E8B"/>
    <w:rsid w:val="006D1B26"/>
    <w:rsid w:val="006E2250"/>
    <w:rsid w:val="00700252"/>
    <w:rsid w:val="00700EB5"/>
    <w:rsid w:val="00705A27"/>
    <w:rsid w:val="007122E2"/>
    <w:rsid w:val="007160B3"/>
    <w:rsid w:val="007278B5"/>
    <w:rsid w:val="0073193D"/>
    <w:rsid w:val="0073253D"/>
    <w:rsid w:val="00744725"/>
    <w:rsid w:val="0075283A"/>
    <w:rsid w:val="00754B16"/>
    <w:rsid w:val="007856A4"/>
    <w:rsid w:val="00795A0D"/>
    <w:rsid w:val="0079663A"/>
    <w:rsid w:val="007B238E"/>
    <w:rsid w:val="007B3356"/>
    <w:rsid w:val="007D3904"/>
    <w:rsid w:val="007D6D73"/>
    <w:rsid w:val="007E2D83"/>
    <w:rsid w:val="007E582A"/>
    <w:rsid w:val="007E6E83"/>
    <w:rsid w:val="007F1EAB"/>
    <w:rsid w:val="007F2513"/>
    <w:rsid w:val="007F712D"/>
    <w:rsid w:val="00806E02"/>
    <w:rsid w:val="0080774A"/>
    <w:rsid w:val="008125B3"/>
    <w:rsid w:val="008257DE"/>
    <w:rsid w:val="00834022"/>
    <w:rsid w:val="00836A14"/>
    <w:rsid w:val="0083796D"/>
    <w:rsid w:val="00852A78"/>
    <w:rsid w:val="00852D40"/>
    <w:rsid w:val="00853C9F"/>
    <w:rsid w:val="00865510"/>
    <w:rsid w:val="008724D7"/>
    <w:rsid w:val="00873069"/>
    <w:rsid w:val="00877846"/>
    <w:rsid w:val="00877C6E"/>
    <w:rsid w:val="008871FA"/>
    <w:rsid w:val="008974EE"/>
    <w:rsid w:val="008A0810"/>
    <w:rsid w:val="008A1192"/>
    <w:rsid w:val="008A2FE7"/>
    <w:rsid w:val="008A6272"/>
    <w:rsid w:val="008B615F"/>
    <w:rsid w:val="008B75E2"/>
    <w:rsid w:val="008B79A7"/>
    <w:rsid w:val="008C04F9"/>
    <w:rsid w:val="008C253A"/>
    <w:rsid w:val="008D3DF7"/>
    <w:rsid w:val="008E2857"/>
    <w:rsid w:val="008E3F10"/>
    <w:rsid w:val="008F2213"/>
    <w:rsid w:val="008F47D6"/>
    <w:rsid w:val="008F496A"/>
    <w:rsid w:val="00900E9B"/>
    <w:rsid w:val="0090581E"/>
    <w:rsid w:val="00911476"/>
    <w:rsid w:val="00912539"/>
    <w:rsid w:val="00912B3B"/>
    <w:rsid w:val="00915D45"/>
    <w:rsid w:val="00915E66"/>
    <w:rsid w:val="0092046E"/>
    <w:rsid w:val="00930B85"/>
    <w:rsid w:val="009351DC"/>
    <w:rsid w:val="00945CD7"/>
    <w:rsid w:val="00952796"/>
    <w:rsid w:val="00966F02"/>
    <w:rsid w:val="00970276"/>
    <w:rsid w:val="00970BC5"/>
    <w:rsid w:val="00984092"/>
    <w:rsid w:val="009843DE"/>
    <w:rsid w:val="009918AE"/>
    <w:rsid w:val="0099209D"/>
    <w:rsid w:val="00996273"/>
    <w:rsid w:val="009A15C7"/>
    <w:rsid w:val="009A201A"/>
    <w:rsid w:val="009A3B82"/>
    <w:rsid w:val="009A6252"/>
    <w:rsid w:val="009C3F01"/>
    <w:rsid w:val="009C6B00"/>
    <w:rsid w:val="009D092D"/>
    <w:rsid w:val="009D5DC0"/>
    <w:rsid w:val="009D5E26"/>
    <w:rsid w:val="009E3C27"/>
    <w:rsid w:val="009E751E"/>
    <w:rsid w:val="009F3370"/>
    <w:rsid w:val="009F62D6"/>
    <w:rsid w:val="00A01BAB"/>
    <w:rsid w:val="00A03942"/>
    <w:rsid w:val="00A13A9E"/>
    <w:rsid w:val="00A30F31"/>
    <w:rsid w:val="00A31C88"/>
    <w:rsid w:val="00A3374C"/>
    <w:rsid w:val="00A34219"/>
    <w:rsid w:val="00A43775"/>
    <w:rsid w:val="00A471E2"/>
    <w:rsid w:val="00A5081F"/>
    <w:rsid w:val="00A56E9C"/>
    <w:rsid w:val="00A6696E"/>
    <w:rsid w:val="00A751E0"/>
    <w:rsid w:val="00A84F93"/>
    <w:rsid w:val="00AB5995"/>
    <w:rsid w:val="00AC2369"/>
    <w:rsid w:val="00AD3BEF"/>
    <w:rsid w:val="00AD503F"/>
    <w:rsid w:val="00AE592C"/>
    <w:rsid w:val="00AF08FF"/>
    <w:rsid w:val="00B04AEB"/>
    <w:rsid w:val="00B106F7"/>
    <w:rsid w:val="00B26B36"/>
    <w:rsid w:val="00B4509D"/>
    <w:rsid w:val="00B5406F"/>
    <w:rsid w:val="00B66227"/>
    <w:rsid w:val="00B669BB"/>
    <w:rsid w:val="00B8740F"/>
    <w:rsid w:val="00B928C1"/>
    <w:rsid w:val="00BA4131"/>
    <w:rsid w:val="00BA59DB"/>
    <w:rsid w:val="00BB003F"/>
    <w:rsid w:val="00BB0117"/>
    <w:rsid w:val="00BB21A0"/>
    <w:rsid w:val="00BC2E33"/>
    <w:rsid w:val="00BE04DE"/>
    <w:rsid w:val="00BF5482"/>
    <w:rsid w:val="00BF7400"/>
    <w:rsid w:val="00C057E8"/>
    <w:rsid w:val="00C17AEE"/>
    <w:rsid w:val="00C17C51"/>
    <w:rsid w:val="00C27FA4"/>
    <w:rsid w:val="00C37A88"/>
    <w:rsid w:val="00C40B07"/>
    <w:rsid w:val="00C46695"/>
    <w:rsid w:val="00C52F06"/>
    <w:rsid w:val="00C53BA1"/>
    <w:rsid w:val="00C61BBE"/>
    <w:rsid w:val="00C81C42"/>
    <w:rsid w:val="00C87923"/>
    <w:rsid w:val="00C95981"/>
    <w:rsid w:val="00C95B1E"/>
    <w:rsid w:val="00CB52BE"/>
    <w:rsid w:val="00CC2252"/>
    <w:rsid w:val="00CC45B4"/>
    <w:rsid w:val="00CD66C8"/>
    <w:rsid w:val="00CD796D"/>
    <w:rsid w:val="00CE3D7E"/>
    <w:rsid w:val="00CE54C3"/>
    <w:rsid w:val="00CF23B0"/>
    <w:rsid w:val="00CF2446"/>
    <w:rsid w:val="00D04376"/>
    <w:rsid w:val="00D05ECC"/>
    <w:rsid w:val="00D105A7"/>
    <w:rsid w:val="00D11F83"/>
    <w:rsid w:val="00D222C0"/>
    <w:rsid w:val="00D26832"/>
    <w:rsid w:val="00D44251"/>
    <w:rsid w:val="00D44A97"/>
    <w:rsid w:val="00D55134"/>
    <w:rsid w:val="00D570B3"/>
    <w:rsid w:val="00D73AC4"/>
    <w:rsid w:val="00D743FA"/>
    <w:rsid w:val="00D77D94"/>
    <w:rsid w:val="00D90079"/>
    <w:rsid w:val="00D91F5B"/>
    <w:rsid w:val="00D945F3"/>
    <w:rsid w:val="00DA544D"/>
    <w:rsid w:val="00DA7067"/>
    <w:rsid w:val="00DB7FB4"/>
    <w:rsid w:val="00DC09FA"/>
    <w:rsid w:val="00DF692E"/>
    <w:rsid w:val="00DF784B"/>
    <w:rsid w:val="00E05E2E"/>
    <w:rsid w:val="00E1375B"/>
    <w:rsid w:val="00E15F46"/>
    <w:rsid w:val="00E23C72"/>
    <w:rsid w:val="00E240D6"/>
    <w:rsid w:val="00E27E4C"/>
    <w:rsid w:val="00E3268E"/>
    <w:rsid w:val="00E3370A"/>
    <w:rsid w:val="00E43622"/>
    <w:rsid w:val="00E44CBB"/>
    <w:rsid w:val="00E457B7"/>
    <w:rsid w:val="00E4799F"/>
    <w:rsid w:val="00E54783"/>
    <w:rsid w:val="00E5672E"/>
    <w:rsid w:val="00E60525"/>
    <w:rsid w:val="00E702D6"/>
    <w:rsid w:val="00E71027"/>
    <w:rsid w:val="00E714A9"/>
    <w:rsid w:val="00E75E92"/>
    <w:rsid w:val="00E76D50"/>
    <w:rsid w:val="00E770C5"/>
    <w:rsid w:val="00E820FF"/>
    <w:rsid w:val="00E84429"/>
    <w:rsid w:val="00E92BB7"/>
    <w:rsid w:val="00EA11D1"/>
    <w:rsid w:val="00EB1158"/>
    <w:rsid w:val="00EB1F4C"/>
    <w:rsid w:val="00EC3B1A"/>
    <w:rsid w:val="00EC742A"/>
    <w:rsid w:val="00ED7C2A"/>
    <w:rsid w:val="00EE3266"/>
    <w:rsid w:val="00EE3405"/>
    <w:rsid w:val="00EE63E3"/>
    <w:rsid w:val="00EE7910"/>
    <w:rsid w:val="00EF1B88"/>
    <w:rsid w:val="00EF578D"/>
    <w:rsid w:val="00F01E89"/>
    <w:rsid w:val="00F02354"/>
    <w:rsid w:val="00F055AE"/>
    <w:rsid w:val="00F05FE9"/>
    <w:rsid w:val="00F14B00"/>
    <w:rsid w:val="00F23FF0"/>
    <w:rsid w:val="00F3480E"/>
    <w:rsid w:val="00F423A8"/>
    <w:rsid w:val="00F45960"/>
    <w:rsid w:val="00F46B02"/>
    <w:rsid w:val="00F47F4F"/>
    <w:rsid w:val="00F53A4B"/>
    <w:rsid w:val="00F60754"/>
    <w:rsid w:val="00F64E0C"/>
    <w:rsid w:val="00F762A5"/>
    <w:rsid w:val="00F8564F"/>
    <w:rsid w:val="00F918EC"/>
    <w:rsid w:val="00F95DDD"/>
    <w:rsid w:val="00FA4CAA"/>
    <w:rsid w:val="00FB6FDE"/>
    <w:rsid w:val="00FE232D"/>
    <w:rsid w:val="00FE2832"/>
    <w:rsid w:val="00FE6C56"/>
    <w:rsid w:val="00FE7B80"/>
    <w:rsid w:val="00FF0F54"/>
    <w:rsid w:val="01B61F54"/>
    <w:rsid w:val="01BD31DE"/>
    <w:rsid w:val="022B7DC8"/>
    <w:rsid w:val="03D06FFD"/>
    <w:rsid w:val="040329DB"/>
    <w:rsid w:val="044F0706"/>
    <w:rsid w:val="066A3FC1"/>
    <w:rsid w:val="075D7724"/>
    <w:rsid w:val="078F01B3"/>
    <w:rsid w:val="07AC7358"/>
    <w:rsid w:val="07F15700"/>
    <w:rsid w:val="07F742BB"/>
    <w:rsid w:val="0A0921A0"/>
    <w:rsid w:val="0D02505F"/>
    <w:rsid w:val="0D277019"/>
    <w:rsid w:val="0F0D1B32"/>
    <w:rsid w:val="105972F1"/>
    <w:rsid w:val="113569D1"/>
    <w:rsid w:val="11AB3F5F"/>
    <w:rsid w:val="13DE6A2B"/>
    <w:rsid w:val="14EA72A0"/>
    <w:rsid w:val="161A3BAF"/>
    <w:rsid w:val="17E30238"/>
    <w:rsid w:val="17FC493E"/>
    <w:rsid w:val="196D4B78"/>
    <w:rsid w:val="19BA0EB7"/>
    <w:rsid w:val="19F40F4A"/>
    <w:rsid w:val="19F60323"/>
    <w:rsid w:val="1AF63286"/>
    <w:rsid w:val="1B77085A"/>
    <w:rsid w:val="1C4A5E6A"/>
    <w:rsid w:val="1D942DAA"/>
    <w:rsid w:val="1E262251"/>
    <w:rsid w:val="1EE80BB6"/>
    <w:rsid w:val="1F6468FD"/>
    <w:rsid w:val="200A3A07"/>
    <w:rsid w:val="217A4BBD"/>
    <w:rsid w:val="217C6D52"/>
    <w:rsid w:val="218D7844"/>
    <w:rsid w:val="22D11DCA"/>
    <w:rsid w:val="25346D88"/>
    <w:rsid w:val="26AE115F"/>
    <w:rsid w:val="2748239B"/>
    <w:rsid w:val="27AB48A8"/>
    <w:rsid w:val="280C1D86"/>
    <w:rsid w:val="28740E51"/>
    <w:rsid w:val="288C6B93"/>
    <w:rsid w:val="2A423EDF"/>
    <w:rsid w:val="2AD450BA"/>
    <w:rsid w:val="2B1B485E"/>
    <w:rsid w:val="2C5D0E5B"/>
    <w:rsid w:val="2D4B211E"/>
    <w:rsid w:val="2D926EDE"/>
    <w:rsid w:val="2FBD5A5B"/>
    <w:rsid w:val="2FF64619"/>
    <w:rsid w:val="30D773C3"/>
    <w:rsid w:val="30ED3E75"/>
    <w:rsid w:val="32303281"/>
    <w:rsid w:val="331D0310"/>
    <w:rsid w:val="343866FF"/>
    <w:rsid w:val="346F5C11"/>
    <w:rsid w:val="35C97A69"/>
    <w:rsid w:val="363D3C0C"/>
    <w:rsid w:val="39BFBEB0"/>
    <w:rsid w:val="39F72585"/>
    <w:rsid w:val="3A5F274A"/>
    <w:rsid w:val="3AF15853"/>
    <w:rsid w:val="3C780534"/>
    <w:rsid w:val="3CB32FEA"/>
    <w:rsid w:val="3FD994FC"/>
    <w:rsid w:val="412C19A7"/>
    <w:rsid w:val="41DC6B88"/>
    <w:rsid w:val="429B7481"/>
    <w:rsid w:val="43916C8F"/>
    <w:rsid w:val="445D50E7"/>
    <w:rsid w:val="463666D6"/>
    <w:rsid w:val="46EF6D38"/>
    <w:rsid w:val="47D5195D"/>
    <w:rsid w:val="48277A0D"/>
    <w:rsid w:val="48292103"/>
    <w:rsid w:val="4845636D"/>
    <w:rsid w:val="486C5DD1"/>
    <w:rsid w:val="48E211E9"/>
    <w:rsid w:val="492D7B43"/>
    <w:rsid w:val="4AC471F5"/>
    <w:rsid w:val="4B3F6854"/>
    <w:rsid w:val="4B5D5EB7"/>
    <w:rsid w:val="4FDF0A63"/>
    <w:rsid w:val="4FFF5A31"/>
    <w:rsid w:val="50D128FB"/>
    <w:rsid w:val="51842EFD"/>
    <w:rsid w:val="54CA015C"/>
    <w:rsid w:val="54D67D81"/>
    <w:rsid w:val="54F6541C"/>
    <w:rsid w:val="56D93F3D"/>
    <w:rsid w:val="5770773F"/>
    <w:rsid w:val="57D44A72"/>
    <w:rsid w:val="584530CD"/>
    <w:rsid w:val="588C16BF"/>
    <w:rsid w:val="595B2A81"/>
    <w:rsid w:val="59815DE1"/>
    <w:rsid w:val="59D81B5C"/>
    <w:rsid w:val="5AE325D9"/>
    <w:rsid w:val="5B4560D2"/>
    <w:rsid w:val="5B7E4CCE"/>
    <w:rsid w:val="5BB74ED6"/>
    <w:rsid w:val="5C6C712F"/>
    <w:rsid w:val="5CBD6807"/>
    <w:rsid w:val="5CCC41E2"/>
    <w:rsid w:val="5D3018A7"/>
    <w:rsid w:val="5DC51DE0"/>
    <w:rsid w:val="5DCB671D"/>
    <w:rsid w:val="5E4B7185"/>
    <w:rsid w:val="5EB066A5"/>
    <w:rsid w:val="5FEAEC69"/>
    <w:rsid w:val="6067296D"/>
    <w:rsid w:val="60FC05E6"/>
    <w:rsid w:val="629673B3"/>
    <w:rsid w:val="649317EA"/>
    <w:rsid w:val="6A5D9906"/>
    <w:rsid w:val="6B8A6D77"/>
    <w:rsid w:val="6C39597D"/>
    <w:rsid w:val="6CFC72DC"/>
    <w:rsid w:val="6DCE1CB7"/>
    <w:rsid w:val="6E807572"/>
    <w:rsid w:val="6FF7760D"/>
    <w:rsid w:val="70ED5B33"/>
    <w:rsid w:val="72ED380B"/>
    <w:rsid w:val="72FF06FF"/>
    <w:rsid w:val="73223D39"/>
    <w:rsid w:val="740241FD"/>
    <w:rsid w:val="752530D6"/>
    <w:rsid w:val="75FD24C5"/>
    <w:rsid w:val="761B064C"/>
    <w:rsid w:val="76F16B6A"/>
    <w:rsid w:val="770826D7"/>
    <w:rsid w:val="771C1E27"/>
    <w:rsid w:val="775D1CD2"/>
    <w:rsid w:val="78A53078"/>
    <w:rsid w:val="79B4511D"/>
    <w:rsid w:val="7AED903C"/>
    <w:rsid w:val="7B2F3A62"/>
    <w:rsid w:val="7B822A23"/>
    <w:rsid w:val="7C32728E"/>
    <w:rsid w:val="7CF5DAB8"/>
    <w:rsid w:val="7DBD2FDC"/>
    <w:rsid w:val="7E3B775F"/>
    <w:rsid w:val="7EFE33BC"/>
    <w:rsid w:val="7F5FE183"/>
    <w:rsid w:val="7FDFA5F4"/>
    <w:rsid w:val="7FE018EA"/>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firstLineChars="200"/>
    </w:pPr>
  </w:style>
  <w:style w:type="paragraph" w:styleId="7">
    <w:name w:val="annotation text"/>
    <w:basedOn w:val="1"/>
    <w:link w:val="30"/>
    <w:autoRedefine/>
    <w:unhideWhenUsed/>
    <w:qFormat/>
    <w:uiPriority w:val="99"/>
    <w:pPr>
      <w:jc w:val="left"/>
    </w:pPr>
  </w:style>
  <w:style w:type="paragraph" w:styleId="8">
    <w:name w:val="Body Text"/>
    <w:basedOn w:val="1"/>
    <w:link w:val="49"/>
    <w:autoRedefine/>
    <w:unhideWhenUsed/>
    <w:qFormat/>
    <w:uiPriority w:val="99"/>
    <w:pPr>
      <w:spacing w:after="120"/>
    </w:pPr>
    <w:rPr>
      <w:kern w:val="0"/>
      <w:sz w:val="24"/>
    </w:rPr>
  </w:style>
  <w:style w:type="paragraph" w:styleId="9">
    <w:name w:val="Block Text"/>
    <w:basedOn w:val="1"/>
    <w:autoRedefine/>
    <w:qFormat/>
    <w:uiPriority w:val="0"/>
    <w:pPr>
      <w:spacing w:line="360" w:lineRule="auto"/>
    </w:pPr>
  </w:style>
  <w:style w:type="paragraph" w:styleId="10">
    <w:name w:val="index 4"/>
    <w:basedOn w:val="1"/>
    <w:next w:val="1"/>
    <w:autoRedefine/>
    <w:unhideWhenUsed/>
    <w:qFormat/>
    <w:uiPriority w:val="99"/>
    <w:pPr>
      <w:ind w:left="600" w:leftChars="600"/>
    </w:pPr>
  </w:style>
  <w:style w:type="paragraph" w:styleId="11">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1"/>
    <w:autoRedefine/>
    <w:qFormat/>
    <w:uiPriority w:val="0"/>
    <w:rPr>
      <w:rFonts w:ascii="宋体" w:hAnsi="Courier New" w:eastAsiaTheme="minorEastAsia" w:cstheme="minorBidi"/>
      <w:szCs w:val="22"/>
    </w:rPr>
  </w:style>
  <w:style w:type="paragraph" w:styleId="13">
    <w:name w:val="Date"/>
    <w:basedOn w:val="1"/>
    <w:next w:val="1"/>
    <w:link w:val="32"/>
    <w:autoRedefine/>
    <w:qFormat/>
    <w:uiPriority w:val="0"/>
    <w:pPr>
      <w:adjustRightInd w:val="0"/>
      <w:spacing w:line="360" w:lineRule="atLeast"/>
      <w:textAlignment w:val="baseline"/>
    </w:pPr>
    <w:rPr>
      <w:rFonts w:ascii="宋体" w:cs="宋体"/>
      <w:kern w:val="0"/>
      <w:sz w:val="24"/>
      <w:szCs w:val="24"/>
    </w:rPr>
  </w:style>
  <w:style w:type="paragraph" w:styleId="14">
    <w:name w:val="Balloon Text"/>
    <w:basedOn w:val="1"/>
    <w:link w:val="33"/>
    <w:autoRedefine/>
    <w:unhideWhenUsed/>
    <w:qFormat/>
    <w:uiPriority w:val="99"/>
    <w:rPr>
      <w:sz w:val="18"/>
      <w:szCs w:val="18"/>
    </w:rPr>
  </w:style>
  <w:style w:type="paragraph" w:styleId="15">
    <w:name w:val="footer"/>
    <w:basedOn w:val="1"/>
    <w:link w:val="34"/>
    <w:autoRedefine/>
    <w:unhideWhenUsed/>
    <w:qFormat/>
    <w:uiPriority w:val="99"/>
    <w:pPr>
      <w:tabs>
        <w:tab w:val="center" w:pos="4153"/>
        <w:tab w:val="right" w:pos="8306"/>
      </w:tabs>
      <w:snapToGrid w:val="0"/>
      <w:jc w:val="left"/>
    </w:pPr>
    <w:rPr>
      <w:sz w:val="18"/>
      <w:szCs w:val="18"/>
    </w:rPr>
  </w:style>
  <w:style w:type="paragraph" w:styleId="16">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36"/>
    <w:autoRedefine/>
    <w:qFormat/>
    <w:uiPriority w:val="0"/>
    <w:pPr>
      <w:spacing w:after="120" w:line="480" w:lineRule="auto"/>
    </w:p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37"/>
    <w:autoRedefine/>
    <w:unhideWhenUsed/>
    <w:qFormat/>
    <w:uiPriority w:val="99"/>
    <w:rPr>
      <w:b/>
      <w:bCs/>
    </w:r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4"/>
    <w:autoRedefine/>
    <w:unhideWhenUsed/>
    <w:qFormat/>
    <w:uiPriority w:val="99"/>
    <w:rPr>
      <w:sz w:val="21"/>
      <w:szCs w:val="21"/>
    </w:rPr>
  </w:style>
  <w:style w:type="paragraph" w:customStyle="1" w:styleId="27">
    <w:name w:val="首行缩进"/>
    <w:basedOn w:val="1"/>
    <w:autoRedefine/>
    <w:qFormat/>
    <w:uiPriority w:val="0"/>
    <w:pPr>
      <w:ind w:firstLine="480" w:firstLineChars="200"/>
    </w:pPr>
    <w:rPr>
      <w:rFonts w:ascii="Calibri" w:hAnsi="Calibri"/>
      <w:szCs w:val="20"/>
      <w:lang w:val="zh-CN"/>
    </w:rPr>
  </w:style>
  <w:style w:type="character" w:customStyle="1" w:styleId="28">
    <w:name w:val="标题 1 字符"/>
    <w:basedOn w:val="24"/>
    <w:link w:val="2"/>
    <w:autoRedefine/>
    <w:qFormat/>
    <w:uiPriority w:val="9"/>
    <w:rPr>
      <w:rFonts w:ascii="Times New Roman" w:hAnsi="Times New Roman" w:eastAsia="宋体" w:cs="Times New Roman"/>
      <w:b/>
      <w:bCs/>
      <w:kern w:val="44"/>
      <w:sz w:val="44"/>
      <w:szCs w:val="44"/>
    </w:rPr>
  </w:style>
  <w:style w:type="character" w:customStyle="1" w:styleId="29">
    <w:name w:val="标题 2 字符"/>
    <w:basedOn w:val="24"/>
    <w:link w:val="3"/>
    <w:autoRedefine/>
    <w:qFormat/>
    <w:uiPriority w:val="0"/>
    <w:rPr>
      <w:rFonts w:ascii="Arial" w:hAnsi="Arial" w:eastAsia="黑体" w:cs="Arial"/>
      <w:b/>
      <w:bCs/>
      <w:sz w:val="32"/>
      <w:szCs w:val="32"/>
    </w:rPr>
  </w:style>
  <w:style w:type="character" w:customStyle="1" w:styleId="30">
    <w:name w:val="批注文字 字符"/>
    <w:basedOn w:val="24"/>
    <w:link w:val="7"/>
    <w:autoRedefine/>
    <w:semiHidden/>
    <w:qFormat/>
    <w:uiPriority w:val="99"/>
    <w:rPr>
      <w:rFonts w:ascii="Times New Roman" w:hAnsi="Times New Roman" w:eastAsia="宋体" w:cs="Times New Roman"/>
      <w:szCs w:val="21"/>
    </w:rPr>
  </w:style>
  <w:style w:type="character" w:customStyle="1" w:styleId="31">
    <w:name w:val="纯文本 字符1"/>
    <w:basedOn w:val="24"/>
    <w:link w:val="12"/>
    <w:autoRedefine/>
    <w:qFormat/>
    <w:uiPriority w:val="0"/>
    <w:rPr>
      <w:rFonts w:ascii="宋体" w:hAnsi="Courier New"/>
    </w:rPr>
  </w:style>
  <w:style w:type="character" w:customStyle="1" w:styleId="32">
    <w:name w:val="日期 字符"/>
    <w:basedOn w:val="24"/>
    <w:link w:val="13"/>
    <w:autoRedefine/>
    <w:qFormat/>
    <w:uiPriority w:val="0"/>
    <w:rPr>
      <w:rFonts w:ascii="宋体" w:hAnsi="Times New Roman" w:eastAsia="宋体" w:cs="宋体"/>
      <w:kern w:val="0"/>
      <w:sz w:val="24"/>
      <w:szCs w:val="24"/>
    </w:rPr>
  </w:style>
  <w:style w:type="character" w:customStyle="1" w:styleId="33">
    <w:name w:val="批注框文本 字符"/>
    <w:basedOn w:val="24"/>
    <w:link w:val="14"/>
    <w:autoRedefine/>
    <w:semiHidden/>
    <w:qFormat/>
    <w:uiPriority w:val="99"/>
    <w:rPr>
      <w:rFonts w:ascii="Times New Roman" w:hAnsi="Times New Roman" w:eastAsia="宋体" w:cs="Times New Roman"/>
      <w:sz w:val="18"/>
      <w:szCs w:val="18"/>
    </w:rPr>
  </w:style>
  <w:style w:type="character" w:customStyle="1" w:styleId="34">
    <w:name w:val="页脚 字符"/>
    <w:basedOn w:val="24"/>
    <w:link w:val="15"/>
    <w:autoRedefine/>
    <w:qFormat/>
    <w:uiPriority w:val="99"/>
    <w:rPr>
      <w:sz w:val="18"/>
      <w:szCs w:val="18"/>
    </w:rPr>
  </w:style>
  <w:style w:type="character" w:customStyle="1" w:styleId="35">
    <w:name w:val="页眉 字符"/>
    <w:basedOn w:val="24"/>
    <w:link w:val="16"/>
    <w:autoRedefine/>
    <w:qFormat/>
    <w:uiPriority w:val="99"/>
    <w:rPr>
      <w:sz w:val="18"/>
      <w:szCs w:val="18"/>
    </w:rPr>
  </w:style>
  <w:style w:type="character" w:customStyle="1" w:styleId="36">
    <w:name w:val="正文文本 2 字符"/>
    <w:basedOn w:val="24"/>
    <w:link w:val="19"/>
    <w:autoRedefine/>
    <w:qFormat/>
    <w:uiPriority w:val="0"/>
    <w:rPr>
      <w:rFonts w:ascii="Times New Roman" w:hAnsi="Times New Roman" w:eastAsia="宋体" w:cs="Times New Roman"/>
      <w:szCs w:val="21"/>
    </w:rPr>
  </w:style>
  <w:style w:type="character" w:customStyle="1" w:styleId="37">
    <w:name w:val="批注主题 字符"/>
    <w:basedOn w:val="30"/>
    <w:link w:val="21"/>
    <w:autoRedefine/>
    <w:semiHidden/>
    <w:qFormat/>
    <w:uiPriority w:val="99"/>
    <w:rPr>
      <w:rFonts w:ascii="Times New Roman" w:hAnsi="Times New Roman" w:eastAsia="宋体" w:cs="Times New Roman"/>
      <w:b/>
      <w:bCs/>
      <w:szCs w:val="21"/>
    </w:rPr>
  </w:style>
  <w:style w:type="character" w:customStyle="1" w:styleId="38">
    <w:name w:val="纯文本 字符"/>
    <w:basedOn w:val="24"/>
    <w:autoRedefine/>
    <w:semiHidden/>
    <w:qFormat/>
    <w:uiPriority w:val="99"/>
    <w:rPr>
      <w:rFonts w:hAnsi="Courier New" w:cs="Courier New" w:asciiTheme="minorEastAsia"/>
      <w:szCs w:val="21"/>
    </w:rPr>
  </w:style>
  <w:style w:type="paragraph" w:customStyle="1" w:styleId="39">
    <w:name w:val="列出段落1"/>
    <w:basedOn w:val="1"/>
    <w:autoRedefine/>
    <w:qFormat/>
    <w:uiPriority w:val="34"/>
    <w:pPr>
      <w:ind w:firstLine="420" w:firstLineChars="200"/>
    </w:pPr>
  </w:style>
  <w:style w:type="paragraph" w:customStyle="1" w:styleId="40">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2">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qowt-font10-gbk"/>
    <w:basedOn w:val="24"/>
    <w:autoRedefine/>
    <w:qFormat/>
    <w:uiPriority w:val="0"/>
  </w:style>
  <w:style w:type="paragraph" w:customStyle="1" w:styleId="44">
    <w:name w:val="列出段落2"/>
    <w:basedOn w:val="1"/>
    <w:autoRedefine/>
    <w:qFormat/>
    <w:uiPriority w:val="34"/>
    <w:pPr>
      <w:ind w:firstLine="420" w:firstLineChars="200"/>
    </w:pPr>
    <w:rPr>
      <w:rFonts w:ascii="Calibri" w:hAnsi="Calibri"/>
    </w:rPr>
  </w:style>
  <w:style w:type="paragraph" w:customStyle="1" w:styleId="45">
    <w:name w:val="Table Paragraph"/>
    <w:basedOn w:val="1"/>
    <w:autoRedefine/>
    <w:qFormat/>
    <w:uiPriority w:val="1"/>
  </w:style>
  <w:style w:type="paragraph" w:customStyle="1" w:styleId="46">
    <w:name w:val="修订2"/>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7">
    <w:name w:val="修订3"/>
    <w:autoRedefine/>
    <w:hidden/>
    <w:semiHidden/>
    <w:qFormat/>
    <w:uiPriority w:val="99"/>
    <w:rPr>
      <w:rFonts w:ascii="Times New Roman" w:hAnsi="Times New Roman" w:eastAsia="宋体" w:cs="Times New Roman"/>
      <w:kern w:val="2"/>
      <w:sz w:val="21"/>
      <w:szCs w:val="21"/>
      <w:lang w:val="en-US" w:eastAsia="zh-CN" w:bidi="ar-SA"/>
    </w:rPr>
  </w:style>
  <w:style w:type="paragraph" w:styleId="48">
    <w:name w:val="List Paragraph"/>
    <w:basedOn w:val="1"/>
    <w:autoRedefine/>
    <w:qFormat/>
    <w:uiPriority w:val="99"/>
    <w:pPr>
      <w:ind w:firstLine="420" w:firstLineChars="200"/>
    </w:pPr>
  </w:style>
  <w:style w:type="character" w:customStyle="1" w:styleId="49">
    <w:name w:val="正文文本 字符"/>
    <w:basedOn w:val="24"/>
    <w:link w:val="8"/>
    <w:autoRedefine/>
    <w:qFormat/>
    <w:uiPriority w:val="99"/>
    <w:rPr>
      <w:rFonts w:ascii="Times New Roman" w:hAnsi="Times New Roman" w:eastAsia="宋体" w:cs="Times New Roman"/>
      <w:sz w:val="24"/>
      <w:szCs w:val="21"/>
    </w:rPr>
  </w:style>
  <w:style w:type="character" w:customStyle="1" w:styleId="50">
    <w:name w:val="font11"/>
    <w:basedOn w:val="24"/>
    <w:autoRedefine/>
    <w:qFormat/>
    <w:uiPriority w:val="0"/>
    <w:rPr>
      <w:rFonts w:hint="eastAsia" w:ascii="宋体" w:hAnsi="宋体" w:eastAsia="宋体" w:cs="宋体"/>
      <w:b/>
      <w:bCs/>
      <w:color w:val="000000"/>
      <w:sz w:val="18"/>
      <w:szCs w:val="18"/>
      <w:u w:val="none"/>
    </w:rPr>
  </w:style>
  <w:style w:type="character" w:customStyle="1" w:styleId="51">
    <w:name w:val="font21"/>
    <w:basedOn w:val="24"/>
    <w:autoRedefine/>
    <w:qFormat/>
    <w:uiPriority w:val="0"/>
    <w:rPr>
      <w:rFonts w:hint="eastAsia" w:ascii="宋体" w:hAnsi="宋体" w:eastAsia="宋体" w:cs="宋体"/>
      <w:color w:val="000000"/>
      <w:sz w:val="21"/>
      <w:szCs w:val="21"/>
      <w:u w:val="none"/>
    </w:rPr>
  </w:style>
  <w:style w:type="character" w:customStyle="1" w:styleId="52">
    <w:name w:val="font31"/>
    <w:basedOn w:val="24"/>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1557</Words>
  <Characters>8880</Characters>
  <Lines>74</Lines>
  <Paragraphs>20</Paragraphs>
  <TotalTime>43</TotalTime>
  <ScaleCrop>false</ScaleCrop>
  <LinksUpToDate>false</LinksUpToDate>
  <CharactersWithSpaces>10417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2023-07-31T09:16:00Z</dcterms:created>
  <dc:creator>赵璧</dc:creator>
  <cp:lastModifiedBy>汪娜</cp:lastModifiedBy>
  <cp:lastPrinted>2024-05-13T01:44:00Z</cp:lastPrinted>
  <dcterms:modified xsi:type="dcterms:W3CDTF">2024-05-20T05:59:25Z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E92EB62954BD48C3ADABDB85C63F235B</vt:lpwstr>
  </property>
</Properties>
</file>