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p>
    <w:p>
      <w:pPr>
        <w:spacing w:line="360" w:lineRule="auto"/>
        <w:jc w:val="center"/>
        <w:rPr>
          <w:rFonts w:eastAsia="黑体"/>
          <w:b/>
          <w:bCs/>
          <w:sz w:val="52"/>
          <w:szCs w:val="36"/>
        </w:rPr>
      </w:pPr>
      <w:r>
        <w:rPr>
          <w:rFonts w:hint="eastAsia" w:eastAsia="黑体"/>
          <w:b/>
          <w:bCs/>
          <w:sz w:val="52"/>
          <w:szCs w:val="36"/>
        </w:rPr>
        <w:t>南京市疾控中心传染病监测与预警指挥能力提升项目视频会议系统</w:t>
      </w:r>
    </w:p>
    <w:p>
      <w:pPr>
        <w:spacing w:line="360" w:lineRule="auto"/>
        <w:jc w:val="center"/>
        <w:rPr>
          <w:sz w:val="28"/>
          <w:szCs w:val="28"/>
        </w:rPr>
      </w:pPr>
    </w:p>
    <w:p>
      <w:pPr>
        <w:spacing w:line="360" w:lineRule="auto"/>
        <w:jc w:val="center"/>
        <w:rPr>
          <w:sz w:val="24"/>
        </w:rPr>
      </w:pPr>
    </w:p>
    <w:p>
      <w:pPr>
        <w:pStyle w:val="10"/>
        <w:ind w:left="1260"/>
      </w:pPr>
    </w:p>
    <w:p>
      <w:pPr>
        <w:spacing w:line="360" w:lineRule="auto"/>
        <w:rPr>
          <w:sz w:val="24"/>
        </w:rPr>
      </w:pPr>
    </w:p>
    <w:p>
      <w:pPr>
        <w:spacing w:line="360" w:lineRule="auto"/>
        <w:jc w:val="center"/>
        <w:rPr>
          <w:sz w:val="24"/>
        </w:rPr>
      </w:pPr>
    </w:p>
    <w:p>
      <w:pPr>
        <w:pStyle w:val="9"/>
        <w:rPr>
          <w:sz w:val="24"/>
        </w:rPr>
      </w:pPr>
    </w:p>
    <w:p>
      <w:pPr>
        <w:pStyle w:val="9"/>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rFonts w:hint="eastAsia"/>
          <w:sz w:val="24"/>
        </w:rPr>
      </w:pPr>
    </w:p>
    <w:p>
      <w:pPr>
        <w:spacing w:line="360" w:lineRule="auto"/>
        <w:jc w:val="center"/>
        <w:rPr>
          <w:sz w:val="24"/>
        </w:rPr>
      </w:pPr>
    </w:p>
    <w:p>
      <w:pPr>
        <w:spacing w:line="360" w:lineRule="auto"/>
        <w:jc w:val="center"/>
        <w:rPr>
          <w:sz w:val="28"/>
          <w:szCs w:val="28"/>
        </w:rPr>
      </w:pPr>
    </w:p>
    <w:p>
      <w:pPr>
        <w:spacing w:line="360" w:lineRule="auto"/>
        <w:jc w:val="center"/>
        <w:rPr>
          <w:rFonts w:hint="eastAsia" w:eastAsia="宋体"/>
          <w:sz w:val="36"/>
          <w:szCs w:val="36"/>
          <w:lang w:eastAsia="zh-CN"/>
        </w:rPr>
      </w:pPr>
      <w:r>
        <w:rPr>
          <w:rFonts w:hint="eastAsia" w:hAnsi="宋体"/>
          <w:sz w:val="36"/>
          <w:szCs w:val="36"/>
          <w:lang w:val="en-US" w:eastAsia="zh-CN"/>
        </w:rPr>
        <w:t>采购文件</w:t>
      </w: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宋体"/>
          <w:sz w:val="28"/>
          <w:szCs w:val="28"/>
        </w:rPr>
        <w:t>南京市疾病预防控制中心</w:t>
      </w:r>
    </w:p>
    <w:p>
      <w:pPr>
        <w:spacing w:line="520" w:lineRule="exact"/>
        <w:jc w:val="center"/>
        <w:rPr>
          <w:rFonts w:hint="default" w:hAnsi="宋体" w:eastAsia="宋体"/>
          <w:sz w:val="24"/>
          <w:szCs w:val="24"/>
          <w:lang w:val="en-US" w:eastAsia="zh-CN"/>
        </w:rPr>
      </w:pPr>
      <w:r>
        <w:rPr>
          <w:rFonts w:hint="eastAsia" w:hAnsi="宋体"/>
          <w:sz w:val="28"/>
          <w:szCs w:val="28"/>
          <w:u w:val="single"/>
          <w:lang w:val="en-US" w:eastAsia="zh-CN"/>
        </w:rPr>
        <w:t>2024年3月</w:t>
      </w:r>
    </w:p>
    <w:p>
      <w:pPr>
        <w:spacing w:line="520" w:lineRule="exact"/>
        <w:jc w:val="left"/>
        <w:rPr>
          <w:rFonts w:hAnsi="宋体"/>
          <w:sz w:val="24"/>
          <w:szCs w:val="24"/>
        </w:rPr>
      </w:pPr>
    </w:p>
    <w:p>
      <w:pPr>
        <w:spacing w:line="520" w:lineRule="exact"/>
        <w:jc w:val="left"/>
        <w:rPr>
          <w:rFonts w:hAnsi="宋体"/>
          <w:sz w:val="24"/>
          <w:szCs w:val="24"/>
        </w:rPr>
      </w:pPr>
    </w:p>
    <w:p>
      <w:pPr>
        <w:spacing w:line="520" w:lineRule="exact"/>
        <w:jc w:val="left"/>
        <w:rPr>
          <w:rFonts w:hAnsi="宋体"/>
          <w:sz w:val="24"/>
          <w:szCs w:val="24"/>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w:t>
      </w:r>
      <w:r>
        <w:rPr>
          <w:rFonts w:hint="eastAsia" w:ascii="仿宋" w:hAnsi="仿宋" w:eastAsia="仿宋"/>
          <w:sz w:val="24"/>
          <w:szCs w:val="28"/>
        </w:rPr>
        <w:t>传染病监测与预警指挥能力提升项目视频会议系统</w:t>
      </w:r>
      <w:r>
        <w:rPr>
          <w:rFonts w:ascii="仿宋" w:hAnsi="仿宋" w:eastAsia="仿宋"/>
          <w:sz w:val="24"/>
          <w:szCs w:val="28"/>
        </w:rPr>
        <w:t>开展</w:t>
      </w:r>
      <w:r>
        <w:rPr>
          <w:rFonts w:hint="eastAsia" w:ascii="仿宋" w:hAnsi="仿宋" w:eastAsia="仿宋"/>
          <w:sz w:val="24"/>
          <w:szCs w:val="28"/>
        </w:rPr>
        <w:t>采购，</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sz w:val="24"/>
          <w:szCs w:val="28"/>
        </w:rPr>
      </w:pPr>
      <w:r>
        <w:rPr>
          <w:rFonts w:hint="eastAsia" w:ascii="仿宋" w:hAnsi="仿宋" w:eastAsia="仿宋"/>
          <w:sz w:val="24"/>
          <w:szCs w:val="28"/>
        </w:rPr>
        <w:t>南京市疾控中心传染病监测与预警指挥能力提升项目视频会议系统招标的潜在投标人应在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2024</w:t>
      </w:r>
      <w:r>
        <w:rPr>
          <w:rFonts w:hint="eastAsia" w:ascii="仿宋" w:hAnsi="仿宋" w:eastAsia="仿宋"/>
          <w:color w:val="000000"/>
          <w:sz w:val="24"/>
          <w:szCs w:val="28"/>
        </w:rPr>
        <w:t>年</w:t>
      </w:r>
      <w:r>
        <w:rPr>
          <w:rFonts w:hint="eastAsia" w:ascii="仿宋" w:hAnsi="仿宋" w:eastAsia="仿宋"/>
          <w:color w:val="000000"/>
          <w:sz w:val="24"/>
          <w:szCs w:val="28"/>
          <w:u w:val="single"/>
        </w:rPr>
        <w:t>3</w:t>
      </w:r>
      <w:r>
        <w:rPr>
          <w:rFonts w:hint="eastAsia" w:ascii="仿宋" w:hAnsi="仿宋" w:eastAsia="仿宋"/>
          <w:bCs/>
          <w:color w:val="000000"/>
          <w:sz w:val="24"/>
          <w:szCs w:val="28"/>
        </w:rPr>
        <w:t>月</w:t>
      </w:r>
      <w:r>
        <w:rPr>
          <w:rFonts w:hint="eastAsia" w:ascii="仿宋" w:hAnsi="仿宋" w:eastAsia="仿宋"/>
          <w:bCs/>
          <w:color w:val="000000"/>
          <w:sz w:val="24"/>
          <w:szCs w:val="28"/>
          <w:u w:val="single"/>
          <w:lang w:val="en-US" w:eastAsia="zh-CN"/>
        </w:rPr>
        <w:t>29</w:t>
      </w:r>
      <w:r>
        <w:rPr>
          <w:rFonts w:hint="eastAsia" w:ascii="仿宋" w:hAnsi="仿宋" w:eastAsia="仿宋"/>
          <w:bCs/>
          <w:color w:val="000000"/>
          <w:sz w:val="24"/>
          <w:szCs w:val="28"/>
        </w:rPr>
        <w:t>日</w:t>
      </w:r>
      <w:r>
        <w:rPr>
          <w:rFonts w:hint="eastAsia" w:ascii="仿宋" w:hAnsi="仿宋" w:eastAsia="仿宋"/>
          <w:bCs/>
          <w:color w:val="000000"/>
          <w:sz w:val="24"/>
          <w:szCs w:val="28"/>
          <w:u w:val="single"/>
        </w:rPr>
        <w:t>9</w:t>
      </w:r>
      <w:r>
        <w:rPr>
          <w:rFonts w:hint="eastAsia" w:ascii="仿宋" w:hAnsi="仿宋" w:eastAsia="仿宋"/>
          <w:bCs/>
          <w:color w:val="000000"/>
          <w:sz w:val="24"/>
          <w:szCs w:val="28"/>
          <w:u w:val="none"/>
        </w:rPr>
        <w:t>点</w:t>
      </w:r>
      <w:r>
        <w:rPr>
          <w:rFonts w:hint="eastAsia" w:ascii="仿宋" w:hAnsi="仿宋" w:eastAsia="仿宋"/>
          <w:bCs/>
          <w:color w:val="000000"/>
          <w:sz w:val="24"/>
          <w:szCs w:val="28"/>
          <w:u w:val="single"/>
          <w:lang w:val="en-US" w:eastAsia="zh-CN"/>
        </w:rPr>
        <w:t>0</w:t>
      </w:r>
      <w:r>
        <w:rPr>
          <w:rFonts w:hint="eastAsia" w:ascii="仿宋" w:hAnsi="仿宋" w:eastAsia="仿宋"/>
          <w:bCs/>
          <w:color w:val="000000"/>
          <w:sz w:val="24"/>
          <w:szCs w:val="28"/>
          <w:u w:val="single"/>
        </w:rPr>
        <w:t>0分</w:t>
      </w:r>
      <w:r>
        <w:rPr>
          <w:rFonts w:hint="eastAsia" w:ascii="仿宋" w:hAnsi="仿宋" w:eastAsia="仿宋"/>
          <w:bCs/>
          <w:color w:val="000000"/>
          <w:sz w:val="24"/>
          <w:szCs w:val="28"/>
        </w:rPr>
        <w:t>（北京时间）前递交投标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rPr>
          <w:color w:val="000000"/>
          <w:sz w:val="24"/>
          <w:szCs w:val="28"/>
        </w:rPr>
      </w:pPr>
    </w:p>
    <w:p>
      <w:pPr>
        <w:pStyle w:val="4"/>
        <w:spacing w:line="360" w:lineRule="auto"/>
        <w:rPr>
          <w:rFonts w:ascii="黑体" w:hAnsi="黑体" w:cs="宋体"/>
          <w:b w:val="0"/>
          <w:color w:val="000000"/>
          <w:sz w:val="24"/>
          <w:szCs w:val="28"/>
        </w:rPr>
      </w:pPr>
      <w:bookmarkStart w:id="2" w:name="_Toc35393621"/>
      <w:bookmarkStart w:id="3" w:name="_Toc35393790"/>
      <w:bookmarkStart w:id="4" w:name="_Toc28359079"/>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400" w:lineRule="exact"/>
        <w:ind w:firstLine="484" w:firstLineChars="202"/>
        <w:rPr>
          <w:rFonts w:hint="eastAsia" w:ascii="仿宋" w:hAnsi="仿宋" w:eastAsia="仿宋"/>
          <w:sz w:val="24"/>
          <w:szCs w:val="28"/>
          <w:lang w:eastAsia="zh-CN"/>
        </w:rPr>
      </w:pPr>
      <w:r>
        <w:rPr>
          <w:rFonts w:hint="eastAsia" w:ascii="仿宋" w:hAnsi="仿宋" w:eastAsia="仿宋"/>
          <w:sz w:val="24"/>
          <w:szCs w:val="28"/>
        </w:rPr>
        <w:t>项目名称：</w:t>
      </w:r>
      <w:bookmarkEnd w:id="6"/>
      <w:r>
        <w:rPr>
          <w:rFonts w:hint="eastAsia" w:ascii="仿宋" w:hAnsi="仿宋" w:eastAsia="仿宋"/>
          <w:sz w:val="24"/>
          <w:szCs w:val="28"/>
        </w:rPr>
        <w:t>传染病监测与预警指挥能力提升项目视频会议系统</w:t>
      </w:r>
      <w:r>
        <w:rPr>
          <w:rFonts w:hint="eastAsia" w:ascii="仿宋" w:hAnsi="仿宋" w:eastAsia="仿宋"/>
          <w:sz w:val="24"/>
          <w:szCs w:val="28"/>
          <w:lang w:eastAsia="zh-CN"/>
        </w:rPr>
        <w:t>；</w:t>
      </w:r>
    </w:p>
    <w:p>
      <w:pPr>
        <w:spacing w:line="400" w:lineRule="exact"/>
        <w:ind w:firstLine="484" w:firstLineChars="202"/>
        <w:rPr>
          <w:rFonts w:hint="eastAsia" w:ascii="仿宋" w:hAnsi="仿宋" w:eastAsia="仿宋"/>
          <w:sz w:val="24"/>
          <w:szCs w:val="28"/>
          <w:lang w:eastAsia="zh-CN"/>
        </w:rPr>
      </w:pPr>
      <w:r>
        <w:rPr>
          <w:rFonts w:hint="eastAsia" w:ascii="仿宋" w:hAnsi="仿宋" w:eastAsia="仿宋"/>
          <w:sz w:val="24"/>
          <w:szCs w:val="28"/>
        </w:rPr>
        <w:t>采购预算：人民币16万元</w:t>
      </w:r>
      <w:r>
        <w:rPr>
          <w:rFonts w:hint="eastAsia" w:ascii="仿宋" w:hAnsi="仿宋" w:eastAsia="仿宋"/>
          <w:sz w:val="24"/>
          <w:szCs w:val="28"/>
          <w:lang w:eastAsia="zh-CN"/>
        </w:rPr>
        <w:t>；</w:t>
      </w:r>
    </w:p>
    <w:p>
      <w:pPr>
        <w:spacing w:line="400" w:lineRule="exact"/>
        <w:ind w:firstLine="484" w:firstLineChars="202"/>
        <w:rPr>
          <w:rFonts w:hint="eastAsia" w:ascii="仿宋" w:hAnsi="仿宋" w:eastAsia="仿宋"/>
          <w:sz w:val="24"/>
          <w:szCs w:val="28"/>
          <w:lang w:eastAsia="zh-CN"/>
        </w:rPr>
      </w:pPr>
      <w:r>
        <w:rPr>
          <w:rFonts w:hint="eastAsia" w:ascii="仿宋" w:hAnsi="仿宋" w:eastAsia="仿宋"/>
          <w:sz w:val="24"/>
          <w:szCs w:val="28"/>
        </w:rPr>
        <w:t>采购需求：视频会议系统（详见采购需求）</w:t>
      </w:r>
      <w:r>
        <w:rPr>
          <w:rFonts w:hint="eastAsia" w:ascii="仿宋" w:hAnsi="仿宋" w:eastAsia="仿宋"/>
          <w:sz w:val="24"/>
          <w:szCs w:val="28"/>
          <w:lang w:eastAsia="zh-CN"/>
        </w:rPr>
        <w:t>；</w:t>
      </w:r>
    </w:p>
    <w:p>
      <w:pPr>
        <w:spacing w:line="400" w:lineRule="exact"/>
        <w:ind w:firstLine="484" w:firstLineChars="202"/>
        <w:rPr>
          <w:rFonts w:hint="eastAsia" w:ascii="仿宋" w:hAnsi="仿宋" w:eastAsia="仿宋"/>
          <w:sz w:val="24"/>
          <w:szCs w:val="28"/>
          <w:lang w:eastAsia="zh-CN"/>
        </w:rPr>
      </w:pPr>
      <w:r>
        <w:rPr>
          <w:rFonts w:hint="eastAsia" w:ascii="仿宋" w:hAnsi="仿宋" w:eastAsia="仿宋"/>
          <w:sz w:val="24"/>
          <w:szCs w:val="28"/>
        </w:rPr>
        <w:t>供货日期：合同签订90日</w:t>
      </w:r>
      <w:r>
        <w:rPr>
          <w:rFonts w:hint="eastAsia" w:ascii="仿宋" w:hAnsi="仿宋" w:eastAsia="仿宋"/>
          <w:sz w:val="24"/>
          <w:szCs w:val="28"/>
          <w:lang w:val="en-US" w:eastAsia="zh-CN"/>
        </w:rPr>
        <w:t>内</w:t>
      </w:r>
      <w:r>
        <w:rPr>
          <w:rFonts w:hint="eastAsia" w:ascii="仿宋" w:hAnsi="仿宋" w:eastAsia="仿宋"/>
          <w:sz w:val="24"/>
          <w:szCs w:val="28"/>
          <w:lang w:eastAsia="zh-CN"/>
        </w:rPr>
        <w:t>；</w:t>
      </w:r>
    </w:p>
    <w:p>
      <w:pPr>
        <w:spacing w:line="400" w:lineRule="exact"/>
        <w:ind w:firstLine="484" w:firstLineChars="202"/>
        <w:rPr>
          <w:rFonts w:ascii="仿宋" w:hAnsi="仿宋" w:eastAsia="仿宋"/>
          <w:sz w:val="24"/>
          <w:szCs w:val="28"/>
        </w:rPr>
      </w:pPr>
      <w:r>
        <w:rPr>
          <w:rFonts w:hint="eastAsia" w:ascii="仿宋" w:hAnsi="仿宋" w:eastAsia="仿宋"/>
          <w:sz w:val="24"/>
          <w:szCs w:val="28"/>
          <w:lang w:val="zh-CN"/>
        </w:rPr>
        <w:t>本项目不接受联合体投标。</w:t>
      </w:r>
    </w:p>
    <w:p>
      <w:pPr>
        <w:pStyle w:val="4"/>
        <w:spacing w:line="360" w:lineRule="auto"/>
        <w:rPr>
          <w:rFonts w:ascii="黑体" w:hAnsi="黑体" w:cs="宋体"/>
          <w:b w:val="0"/>
          <w:sz w:val="24"/>
          <w:szCs w:val="28"/>
        </w:rPr>
      </w:pPr>
      <w:bookmarkStart w:id="7" w:name="_Toc28359080"/>
      <w:bookmarkStart w:id="8" w:name="_Toc28359003"/>
      <w:bookmarkStart w:id="9" w:name="_Toc35393622"/>
      <w:bookmarkStart w:id="10" w:name="_Toc35393791"/>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lang w:val="zh-CN"/>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400" w:lineRule="exact"/>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400" w:lineRule="exact"/>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（2）具有良好的商业信誉和健全的财务会计制度（提供</w:t>
      </w:r>
      <w:r>
        <w:rPr>
          <w:rFonts w:hint="eastAsia" w:ascii="仿宋" w:hAnsi="仿宋" w:eastAsia="仿宋"/>
          <w:sz w:val="24"/>
          <w:szCs w:val="28"/>
        </w:rPr>
        <w:t>提供2022</w:t>
      </w:r>
      <w:r>
        <w:rPr>
          <w:rFonts w:hint="eastAsia" w:ascii="仿宋" w:hAnsi="仿宋" w:eastAsia="仿宋"/>
          <w:sz w:val="24"/>
          <w:szCs w:val="28"/>
          <w:lang w:val="en-US" w:eastAsia="zh-CN"/>
        </w:rPr>
        <w:t>或2023</w:t>
      </w:r>
      <w:r>
        <w:rPr>
          <w:rFonts w:hint="eastAsia" w:ascii="仿宋" w:hAnsi="仿宋" w:eastAsia="仿宋"/>
          <w:sz w:val="24"/>
          <w:szCs w:val="28"/>
        </w:rPr>
        <w:t>年度的财务报表或财政部门认可的政府采购专业担保机构出具的投标担保函</w:t>
      </w:r>
      <w:r>
        <w:rPr>
          <w:rFonts w:hint="eastAsia" w:ascii="仿宋" w:hAnsi="仿宋" w:eastAsia="仿宋"/>
          <w:sz w:val="24"/>
          <w:szCs w:val="28"/>
          <w:lang w:val="en-US" w:eastAsia="zh-CN"/>
        </w:rPr>
        <w:t>的</w:t>
      </w:r>
      <w:r>
        <w:rPr>
          <w:rFonts w:hint="eastAsia" w:ascii="仿宋" w:hAnsi="仿宋" w:eastAsia="仿宋" w:cs="Times New Roman"/>
          <w:sz w:val="24"/>
          <w:szCs w:val="28"/>
        </w:rPr>
        <w:t>复印件加盖公章）；</w:t>
      </w:r>
    </w:p>
    <w:p>
      <w:pPr>
        <w:spacing w:line="400" w:lineRule="exact"/>
        <w:ind w:firstLine="484" w:firstLineChars="202"/>
        <w:rPr>
          <w:rFonts w:hint="eastAsia" w:ascii="仿宋" w:hAnsi="仿宋" w:eastAsia="仿宋" w:cs="Times New Roman"/>
          <w:sz w:val="24"/>
          <w:szCs w:val="28"/>
        </w:rPr>
      </w:pPr>
      <w:r>
        <w:rPr>
          <w:rFonts w:hint="eastAsia" w:ascii="仿宋" w:hAnsi="仿宋" w:eastAsia="仿宋" w:cs="Times New Roman"/>
          <w:sz w:val="24"/>
          <w:szCs w:val="28"/>
        </w:rPr>
        <w:t>（3）有依法缴纳税收和社会保障资金的良好记录（提供近三个月中任意一个月份(不含当月)完税证明及社保缴纳证明的有效复印件）；</w:t>
      </w:r>
    </w:p>
    <w:p>
      <w:pPr>
        <w:spacing w:line="400" w:lineRule="exact"/>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400" w:lineRule="exact"/>
        <w:ind w:firstLine="484" w:firstLineChars="202"/>
      </w:pPr>
      <w:r>
        <w:rPr>
          <w:rFonts w:hint="eastAsia" w:ascii="仿宋" w:hAnsi="仿宋" w:eastAsia="仿宋"/>
          <w:sz w:val="24"/>
          <w:szCs w:val="28"/>
        </w:rPr>
        <w:t>（5）法律、行政法规规定的其他条件：无</w:t>
      </w:r>
    </w:p>
    <w:p>
      <w:pPr>
        <w:pStyle w:val="4"/>
        <w:spacing w:line="360" w:lineRule="auto"/>
        <w:rPr>
          <w:rFonts w:ascii="黑体" w:hAnsi="黑体" w:cs="宋体"/>
          <w:b w:val="0"/>
          <w:sz w:val="24"/>
          <w:szCs w:val="28"/>
        </w:rPr>
      </w:pPr>
      <w:bookmarkStart w:id="11" w:name="_Toc35393623"/>
      <w:bookmarkStart w:id="12" w:name="_Toc28359004"/>
      <w:bookmarkStart w:id="13" w:name="_Toc35393792"/>
      <w:bookmarkStart w:id="14" w:name="_Toc28359081"/>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82"/>
      <w:bookmarkStart w:id="16" w:name="_Toc28359005"/>
      <w:bookmarkStart w:id="17" w:name="_Toc35393793"/>
      <w:bookmarkStart w:id="18" w:name="_Toc35393624"/>
      <w:r>
        <w:rPr>
          <w:rFonts w:ascii="仿宋" w:hAnsi="仿宋" w:eastAsia="仿宋" w:cs="宋体"/>
          <w:sz w:val="24"/>
          <w:szCs w:val="28"/>
        </w:rPr>
        <w:t>详见南京市疾控中心官网。</w:t>
      </w:r>
    </w:p>
    <w:p>
      <w:pPr>
        <w:pStyle w:val="4"/>
        <w:spacing w:line="360" w:lineRule="auto"/>
        <w:rPr>
          <w:rFonts w:ascii="Times New Roman" w:hAnsi="Times New Roman"/>
          <w:b w:val="0"/>
          <w:sz w:val="24"/>
          <w:szCs w:val="28"/>
        </w:rPr>
      </w:pPr>
      <w:r>
        <w:rPr>
          <w:rFonts w:hint="eastAsia" w:ascii="仿宋" w:hAnsi="仿宋" w:eastAsia="仿宋" w:cs="宋体"/>
          <w:sz w:val="24"/>
          <w:szCs w:val="28"/>
        </w:rPr>
        <w:t>四、</w:t>
      </w:r>
      <w:r>
        <w:rPr>
          <w:rFonts w:hint="eastAsia" w:ascii="Times New Roman" w:hAnsi="Times New Roman"/>
          <w:b w:val="0"/>
          <w:sz w:val="24"/>
          <w:szCs w:val="28"/>
        </w:rPr>
        <w:t>网络报名方式及期限:</w:t>
      </w:r>
    </w:p>
    <w:p>
      <w:pPr>
        <w:spacing w:line="360" w:lineRule="auto"/>
        <w:rPr>
          <w:rFonts w:eastAsia="仿宋"/>
          <w:sz w:val="24"/>
          <w:szCs w:val="28"/>
        </w:rPr>
      </w:pPr>
      <w:r>
        <w:rPr>
          <w:rFonts w:hint="eastAsia" w:eastAsia="仿宋"/>
          <w:sz w:val="24"/>
          <w:szCs w:val="28"/>
        </w:rPr>
        <w:t>　　投标人以邮件形式进行报名，邮件主题及报名文件均以“公司名称+项目名称”命名。报名时邮件中至少需包含以下内容：</w:t>
      </w:r>
    </w:p>
    <w:p>
      <w:pPr>
        <w:spacing w:line="360" w:lineRule="auto"/>
        <w:rPr>
          <w:rFonts w:eastAsia="仿宋"/>
          <w:sz w:val="24"/>
          <w:szCs w:val="28"/>
        </w:rPr>
      </w:pPr>
      <w:r>
        <w:rPr>
          <w:rFonts w:hint="eastAsia" w:eastAsia="仿宋"/>
          <w:sz w:val="24"/>
          <w:szCs w:val="28"/>
        </w:rPr>
        <w:t>　　1、拟投标的项目名称；</w:t>
      </w:r>
    </w:p>
    <w:p>
      <w:pPr>
        <w:spacing w:line="360" w:lineRule="auto"/>
        <w:rPr>
          <w:rFonts w:eastAsia="仿宋"/>
          <w:sz w:val="24"/>
          <w:szCs w:val="28"/>
        </w:rPr>
      </w:pPr>
      <w:r>
        <w:rPr>
          <w:rFonts w:hint="eastAsia" w:eastAsia="仿宋"/>
          <w:sz w:val="24"/>
          <w:szCs w:val="28"/>
        </w:rPr>
        <w:t>　　2、三证合一或组织机构代码证，法人的证明文件和身份证，法人授权书和被授权人的身份证；</w:t>
      </w:r>
    </w:p>
    <w:p>
      <w:pPr>
        <w:spacing w:line="360" w:lineRule="auto"/>
        <w:rPr>
          <w:rFonts w:eastAsia="仿宋"/>
          <w:sz w:val="24"/>
          <w:szCs w:val="28"/>
        </w:rPr>
      </w:pPr>
      <w:r>
        <w:rPr>
          <w:rFonts w:hint="eastAsia" w:eastAsia="仿宋"/>
          <w:sz w:val="24"/>
          <w:szCs w:val="28"/>
        </w:rPr>
        <w:t xml:space="preserve">    以上文件均需加盖公章，扫描后作为邮件附件，邮箱地址njcdccgb@163.com。</w:t>
      </w:r>
    </w:p>
    <w:p>
      <w:pPr>
        <w:spacing w:line="360" w:lineRule="auto"/>
        <w:rPr>
          <w:rFonts w:eastAsia="仿宋"/>
          <w:sz w:val="24"/>
          <w:szCs w:val="28"/>
        </w:rPr>
      </w:pPr>
      <w:r>
        <w:rPr>
          <w:rFonts w:hint="eastAsia" w:eastAsia="仿宋"/>
          <w:sz w:val="24"/>
          <w:szCs w:val="28"/>
        </w:rPr>
        <w:t>　 报名截止时间：2024 年3月</w:t>
      </w:r>
      <w:r>
        <w:rPr>
          <w:rFonts w:hint="eastAsia" w:eastAsia="仿宋"/>
          <w:sz w:val="24"/>
          <w:szCs w:val="28"/>
          <w:lang w:val="en-US" w:eastAsia="zh-CN"/>
        </w:rPr>
        <w:t>28</w:t>
      </w:r>
      <w:r>
        <w:rPr>
          <w:rFonts w:hint="eastAsia" w:eastAsia="仿宋"/>
          <w:sz w:val="24"/>
          <w:szCs w:val="28"/>
        </w:rPr>
        <w:t>日</w:t>
      </w:r>
      <w:r>
        <w:rPr>
          <w:rFonts w:hint="eastAsia" w:eastAsia="仿宋"/>
          <w:sz w:val="24"/>
          <w:szCs w:val="28"/>
          <w:lang w:val="en-US" w:eastAsia="zh-CN"/>
        </w:rPr>
        <w:t>12</w:t>
      </w:r>
      <w:r>
        <w:rPr>
          <w:rFonts w:eastAsia="仿宋"/>
          <w:sz w:val="24"/>
          <w:szCs w:val="28"/>
        </w:rPr>
        <w:t xml:space="preserve"> </w:t>
      </w:r>
      <w:r>
        <w:rPr>
          <w:rFonts w:hint="eastAsia" w:eastAsia="仿宋"/>
          <w:sz w:val="24"/>
          <w:szCs w:val="28"/>
        </w:rPr>
        <w:t>点00分，以邮件发送时间为准。</w:t>
      </w:r>
    </w:p>
    <w:p>
      <w:pPr>
        <w:spacing w:line="360" w:lineRule="auto"/>
        <w:ind w:firstLine="240" w:firstLineChars="100"/>
        <w:rPr>
          <w:rFonts w:eastAsia="仿宋"/>
          <w:sz w:val="24"/>
          <w:szCs w:val="28"/>
        </w:rPr>
      </w:pPr>
      <w:r>
        <w:rPr>
          <w:rFonts w:hint="eastAsia" w:eastAsia="仿宋"/>
          <w:sz w:val="24"/>
          <w:szCs w:val="28"/>
        </w:rPr>
        <w:t>确认报名参加中心采购的供应商，请先确认资格条件符合，邮件确认参加的供应商开标时未参加的，将纳入南京市疾病预防控制中心不诚信供应商名录中。未来及发送邮件且有意愿参加的供应商可于截止时间前致电采购办备案。（83538375）</w:t>
      </w:r>
    </w:p>
    <w:p>
      <w:pPr>
        <w:pStyle w:val="4"/>
        <w:spacing w:line="360" w:lineRule="auto"/>
        <w:rPr>
          <w:rFonts w:ascii="黑体" w:hAnsi="黑体" w:cs="宋体"/>
          <w:b w:val="0"/>
          <w:sz w:val="24"/>
          <w:szCs w:val="28"/>
          <w:shd w:val="clear" w:color="auto" w:fill="FFFFFF" w:themeFill="background1"/>
        </w:rPr>
      </w:pPr>
      <w:r>
        <w:rPr>
          <w:rFonts w:hint="eastAsia" w:ascii="黑体" w:hAnsi="黑体" w:cs="宋体"/>
          <w:b w:val="0"/>
          <w:sz w:val="24"/>
          <w:szCs w:val="28"/>
          <w:shd w:val="clear" w:color="auto" w:fill="FFFFFF" w:themeFill="background1"/>
        </w:rPr>
        <w:t>五、提交投标文件</w:t>
      </w:r>
      <w:bookmarkEnd w:id="15"/>
      <w:bookmarkEnd w:id="16"/>
      <w:r>
        <w:rPr>
          <w:rFonts w:hint="eastAsia" w:ascii="黑体" w:hAnsi="黑体" w:cs="宋体"/>
          <w:b w:val="0"/>
          <w:sz w:val="24"/>
          <w:szCs w:val="28"/>
          <w:shd w:val="clear" w:color="auto" w:fill="FFFFFF" w:themeFill="background1"/>
        </w:rPr>
        <w:t>截止时间、开标时间和地点</w:t>
      </w:r>
      <w:bookmarkEnd w:id="17"/>
      <w:bookmarkEnd w:id="18"/>
    </w:p>
    <w:p>
      <w:pPr>
        <w:spacing w:line="360" w:lineRule="auto"/>
        <w:rPr>
          <w:rFonts w:ascii="仿宋" w:hAnsi="仿宋" w:eastAsia="仿宋" w:cs="宋体"/>
          <w:sz w:val="24"/>
          <w:szCs w:val="28"/>
        </w:rPr>
      </w:pPr>
      <w:bookmarkStart w:id="19" w:name="_Toc28359007"/>
      <w:bookmarkStart w:id="20" w:name="_Toc35393794"/>
      <w:bookmarkStart w:id="21" w:name="_Toc35393625"/>
      <w:bookmarkStart w:id="22" w:name="_Toc28359084"/>
      <w:r>
        <w:rPr>
          <w:rFonts w:ascii="仿宋" w:hAnsi="仿宋" w:eastAsia="仿宋" w:cs="宋体"/>
          <w:sz w:val="24"/>
          <w:szCs w:val="28"/>
        </w:rPr>
        <w:t>递交响应文件时间：</w:t>
      </w:r>
      <w:r>
        <w:rPr>
          <w:rFonts w:hint="eastAsia" w:ascii="仿宋" w:hAnsi="仿宋" w:eastAsia="仿宋" w:cs="宋体"/>
          <w:sz w:val="24"/>
          <w:szCs w:val="28"/>
          <w:u w:val="single"/>
        </w:rPr>
        <w:t xml:space="preserve"> </w:t>
      </w:r>
      <w:r>
        <w:rPr>
          <w:rFonts w:hint="eastAsia" w:ascii="仿宋" w:hAnsi="仿宋" w:eastAsia="仿宋" w:cs="宋体"/>
          <w:sz w:val="24"/>
          <w:szCs w:val="28"/>
          <w:u w:val="single"/>
          <w:lang w:val="en-US" w:eastAsia="zh-CN"/>
        </w:rPr>
        <w:t>2024</w:t>
      </w:r>
      <w:r>
        <w:rPr>
          <w:rFonts w:ascii="仿宋" w:hAnsi="仿宋" w:eastAsia="仿宋" w:cs="宋体"/>
          <w:sz w:val="24"/>
          <w:szCs w:val="28"/>
        </w:rPr>
        <w:t>年</w:t>
      </w:r>
      <w:r>
        <w:rPr>
          <w:rFonts w:hint="eastAsia" w:ascii="仿宋" w:hAnsi="仿宋" w:eastAsia="仿宋" w:cs="宋体"/>
          <w:sz w:val="24"/>
          <w:szCs w:val="28"/>
          <w:u w:val="single"/>
          <w:lang w:val="en-US" w:eastAsia="zh-CN"/>
        </w:rPr>
        <w:t>3</w:t>
      </w:r>
      <w:r>
        <w:rPr>
          <w:rFonts w:ascii="仿宋" w:hAnsi="仿宋" w:eastAsia="仿宋" w:cs="宋体"/>
          <w:sz w:val="24"/>
          <w:szCs w:val="28"/>
        </w:rPr>
        <w:t>月</w:t>
      </w:r>
      <w:r>
        <w:rPr>
          <w:rFonts w:hint="eastAsia" w:ascii="仿宋" w:hAnsi="仿宋" w:eastAsia="仿宋" w:cs="宋体"/>
          <w:sz w:val="24"/>
          <w:szCs w:val="28"/>
          <w:u w:val="single"/>
          <w:lang w:val="en-US" w:eastAsia="zh-CN"/>
        </w:rPr>
        <w:t>29</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8</w:t>
      </w:r>
      <w:r>
        <w:rPr>
          <w:rFonts w:hint="eastAsia" w:ascii="仿宋" w:hAnsi="仿宋" w:eastAsia="仿宋" w:cs="宋体"/>
          <w:sz w:val="24"/>
          <w:szCs w:val="28"/>
        </w:rPr>
        <w:t>:</w:t>
      </w:r>
      <w:r>
        <w:rPr>
          <w:rFonts w:hint="eastAsia" w:ascii="仿宋" w:hAnsi="仿宋" w:eastAsia="仿宋" w:cs="宋体"/>
          <w:sz w:val="24"/>
          <w:szCs w:val="28"/>
          <w:lang w:val="en-US" w:eastAsia="zh-CN"/>
        </w:rPr>
        <w:t>3</w:t>
      </w:r>
      <w:r>
        <w:rPr>
          <w:rFonts w:hint="eastAsia" w:ascii="仿宋" w:hAnsi="仿宋" w:eastAsia="仿宋" w:cs="宋体"/>
          <w:sz w:val="24"/>
          <w:szCs w:val="28"/>
        </w:rPr>
        <w:t>0</w:t>
      </w:r>
      <w:r>
        <w:rPr>
          <w:rFonts w:hint="eastAsia" w:ascii="仿宋" w:hAnsi="仿宋" w:eastAsia="仿宋" w:cs="宋体"/>
          <w:sz w:val="24"/>
          <w:szCs w:val="28"/>
          <w:lang w:val="en-US" w:eastAsia="zh-CN"/>
        </w:rPr>
        <w:t>-</w:t>
      </w:r>
      <w:r>
        <w:rPr>
          <w:rFonts w:hint="eastAsia" w:ascii="仿宋" w:hAnsi="仿宋" w:eastAsia="仿宋" w:cs="宋体"/>
          <w:sz w:val="24"/>
          <w:szCs w:val="28"/>
        </w:rPr>
        <w:t xml:space="preserve">9:00 </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开标时间：</w:t>
      </w:r>
      <w:r>
        <w:rPr>
          <w:rFonts w:hint="eastAsia" w:ascii="仿宋" w:hAnsi="仿宋" w:eastAsia="仿宋" w:cs="宋体"/>
          <w:sz w:val="24"/>
          <w:szCs w:val="28"/>
          <w:u w:val="single"/>
        </w:rPr>
        <w:t xml:space="preserve"> </w:t>
      </w:r>
      <w:r>
        <w:rPr>
          <w:rFonts w:hint="eastAsia" w:ascii="仿宋" w:hAnsi="仿宋" w:eastAsia="仿宋" w:cs="宋体"/>
          <w:sz w:val="24"/>
          <w:szCs w:val="28"/>
          <w:u w:val="single"/>
          <w:lang w:val="en-US" w:eastAsia="zh-CN"/>
        </w:rPr>
        <w:t>2024</w:t>
      </w:r>
      <w:r>
        <w:rPr>
          <w:rFonts w:hint="eastAsia" w:ascii="仿宋" w:hAnsi="仿宋" w:eastAsia="仿宋" w:cs="宋体"/>
          <w:sz w:val="24"/>
          <w:szCs w:val="28"/>
          <w:u w:val="single"/>
        </w:rPr>
        <w:t xml:space="preserve"> </w:t>
      </w:r>
      <w:r>
        <w:rPr>
          <w:rFonts w:ascii="仿宋" w:hAnsi="仿宋" w:eastAsia="仿宋" w:cs="宋体"/>
          <w:sz w:val="24"/>
          <w:szCs w:val="28"/>
        </w:rPr>
        <w:t>年</w:t>
      </w:r>
      <w:r>
        <w:rPr>
          <w:rFonts w:hint="eastAsia" w:ascii="仿宋" w:hAnsi="仿宋" w:eastAsia="仿宋" w:cs="宋体"/>
          <w:sz w:val="24"/>
          <w:szCs w:val="28"/>
          <w:u w:val="single"/>
          <w:lang w:val="en-US" w:eastAsia="zh-CN"/>
        </w:rPr>
        <w:t>3</w:t>
      </w:r>
      <w:r>
        <w:rPr>
          <w:rFonts w:hint="eastAsia" w:ascii="仿宋" w:hAnsi="仿宋" w:eastAsia="仿宋" w:cs="宋体"/>
          <w:sz w:val="24"/>
          <w:szCs w:val="28"/>
          <w:u w:val="single"/>
        </w:rPr>
        <w:t xml:space="preserve"> </w:t>
      </w:r>
      <w:r>
        <w:rPr>
          <w:rFonts w:ascii="仿宋" w:hAnsi="仿宋" w:eastAsia="仿宋" w:cs="宋体"/>
          <w:sz w:val="24"/>
          <w:szCs w:val="28"/>
        </w:rPr>
        <w:t>月</w:t>
      </w:r>
      <w:r>
        <w:rPr>
          <w:rFonts w:hint="eastAsia" w:ascii="仿宋" w:hAnsi="仿宋" w:eastAsia="仿宋" w:cs="宋体"/>
          <w:sz w:val="24"/>
          <w:szCs w:val="28"/>
          <w:u w:val="single"/>
          <w:lang w:val="en-US" w:eastAsia="zh-CN"/>
        </w:rPr>
        <w:t>29</w:t>
      </w:r>
      <w:r>
        <w:rPr>
          <w:rFonts w:hint="eastAsia" w:ascii="仿宋" w:hAnsi="仿宋" w:eastAsia="仿宋" w:cs="宋体"/>
          <w:sz w:val="24"/>
          <w:szCs w:val="28"/>
          <w:u w:val="single"/>
        </w:rPr>
        <w:t xml:space="preserve"> </w:t>
      </w:r>
      <w:r>
        <w:rPr>
          <w:rFonts w:ascii="仿宋" w:hAnsi="仿宋" w:eastAsia="仿宋" w:cs="宋体"/>
          <w:sz w:val="24"/>
          <w:szCs w:val="28"/>
        </w:rPr>
        <w:t>日上</w:t>
      </w:r>
      <w:r>
        <w:rPr>
          <w:rFonts w:hint="eastAsia" w:ascii="仿宋" w:hAnsi="仿宋" w:eastAsia="仿宋" w:cs="宋体"/>
          <w:sz w:val="24"/>
          <w:szCs w:val="28"/>
        </w:rPr>
        <w:t xml:space="preserve">午9:00 </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六、公告期限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七、其他补充事宜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投标文件由下述部分组成，递交时应按顺序排列：响应申请及声明（格式）；投标人法定代表授权书；分项报价单；</w:t>
      </w:r>
      <w:r>
        <w:rPr>
          <w:rFonts w:hint="eastAsia" w:ascii="仿宋" w:hAnsi="仿宋" w:eastAsia="仿宋" w:cs="宋体"/>
          <w:sz w:val="24"/>
          <w:szCs w:val="28"/>
        </w:rPr>
        <w:t>商务条款偏离表</w:t>
      </w:r>
      <w:r>
        <w:rPr>
          <w:rFonts w:ascii="仿宋" w:hAnsi="仿宋" w:eastAsia="仿宋" w:cs="宋体"/>
          <w:sz w:val="24"/>
          <w:szCs w:val="28"/>
        </w:rPr>
        <w:t>；</w:t>
      </w:r>
      <w:r>
        <w:rPr>
          <w:rFonts w:hint="eastAsia" w:ascii="仿宋" w:hAnsi="仿宋" w:eastAsia="仿宋" w:cs="宋体"/>
          <w:sz w:val="24"/>
          <w:szCs w:val="28"/>
        </w:rPr>
        <w:t>技术条款偏离表</w:t>
      </w:r>
      <w:r>
        <w:rPr>
          <w:rFonts w:hint="eastAsia" w:ascii="仿宋" w:hAnsi="仿宋" w:eastAsia="仿宋" w:cs="宋体"/>
          <w:sz w:val="24"/>
          <w:szCs w:val="28"/>
          <w:lang w:eastAsia="zh-CN"/>
        </w:rPr>
        <w:t>；</w:t>
      </w:r>
      <w:r>
        <w:rPr>
          <w:rFonts w:hint="eastAsia" w:ascii="仿宋" w:hAnsi="仿宋" w:eastAsia="仿宋" w:cs="宋体"/>
          <w:sz w:val="24"/>
          <w:szCs w:val="28"/>
        </w:rPr>
        <w:t>项目实施方案；客户清单</w:t>
      </w:r>
      <w:r>
        <w:rPr>
          <w:rFonts w:ascii="仿宋" w:hAnsi="仿宋" w:eastAsia="仿宋" w:cs="宋体"/>
          <w:sz w:val="24"/>
          <w:szCs w:val="28"/>
        </w:rPr>
        <w:t>；</w:t>
      </w:r>
      <w:r>
        <w:rPr>
          <w:rFonts w:hint="eastAsia" w:ascii="仿宋" w:hAnsi="仿宋" w:eastAsia="仿宋" w:cs="宋体"/>
          <w:sz w:val="24"/>
          <w:szCs w:val="28"/>
        </w:rPr>
        <w:t>供应商资格证明材料；</w:t>
      </w:r>
      <w:r>
        <w:rPr>
          <w:rFonts w:ascii="仿宋" w:hAnsi="仿宋" w:eastAsia="仿宋" w:cs="宋体"/>
          <w:sz w:val="24"/>
          <w:szCs w:val="28"/>
        </w:rPr>
        <w:t>无重大违法记录声明</w:t>
      </w:r>
      <w:r>
        <w:rPr>
          <w:rFonts w:hint="eastAsia" w:ascii="仿宋" w:hAnsi="仿宋" w:eastAsia="仿宋" w:cs="宋体"/>
          <w:sz w:val="24"/>
          <w:szCs w:val="28"/>
          <w:lang w:val="en-US" w:eastAsia="zh-CN"/>
        </w:rPr>
        <w:t>等</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其他证明材料：近期案例；具有完善的售后服务体系；具有良好的行业信誉，财务数据运营正常；其他相关材料。</w:t>
      </w:r>
    </w:p>
    <w:p>
      <w:pPr>
        <w:pStyle w:val="4"/>
        <w:spacing w:line="360" w:lineRule="auto"/>
        <w:rPr>
          <w:rFonts w:ascii="黑体" w:hAnsi="黑体" w:cs="宋体"/>
          <w:b w:val="0"/>
          <w:sz w:val="24"/>
          <w:szCs w:val="28"/>
        </w:rPr>
      </w:pPr>
      <w:bookmarkStart w:id="25" w:name="_Toc28359085"/>
      <w:bookmarkStart w:id="26" w:name="_Toc28359008"/>
      <w:bookmarkStart w:id="27" w:name="_Toc35393796"/>
      <w:bookmarkStart w:id="28" w:name="_Toc35393627"/>
      <w:r>
        <w:rPr>
          <w:rFonts w:hint="eastAsia" w:ascii="黑体" w:hAnsi="黑体" w:cs="宋体"/>
          <w:b w:val="0"/>
          <w:sz w:val="24"/>
          <w:szCs w:val="28"/>
        </w:rPr>
        <w:t>八、对本次招标提出询问，请按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 w:hAnsi="仿宋" w:eastAsia="仿宋"/>
          <w:sz w:val="24"/>
          <w:szCs w:val="28"/>
          <w:u w:val="single"/>
        </w:rPr>
        <w:t>工</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86"/>
      <w:bookmarkStart w:id="30" w:name="_Toc28359009"/>
    </w:p>
    <w:p>
      <w:pPr>
        <w:widowControl/>
        <w:jc w:val="left"/>
        <w:rPr>
          <w:rFonts w:ascii="仿宋_GB2312" w:eastAsia="仿宋_GB2312"/>
          <w:sz w:val="24"/>
          <w:szCs w:val="28"/>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pPr>
        <w:widowControl/>
        <w:jc w:val="left"/>
        <w:rPr>
          <w:rFonts w:ascii="仿宋_GB2312" w:eastAsia="仿宋_GB2312"/>
          <w:sz w:val="24"/>
          <w:szCs w:val="28"/>
        </w:rPr>
      </w:pPr>
    </w:p>
    <w:p>
      <w:pPr>
        <w:widowControl/>
        <w:jc w:val="left"/>
        <w:rPr>
          <w:rFonts w:ascii="仿宋" w:hAnsi="仿宋" w:eastAsia="仿宋"/>
          <w:sz w:val="24"/>
          <w:szCs w:val="28"/>
        </w:rPr>
      </w:pPr>
    </w:p>
    <w:p>
      <w:pPr>
        <w:pStyle w:val="2"/>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pStyle w:val="2"/>
        <w:ind w:firstLine="420"/>
      </w:pPr>
    </w:p>
    <w:p>
      <w:pPr>
        <w:pStyle w:val="3"/>
        <w:widowControl/>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第二章    评审办法</w:t>
      </w:r>
    </w:p>
    <w:p>
      <w:pPr>
        <w:widowControl/>
        <w:jc w:val="center"/>
        <w:rPr>
          <w:rFonts w:ascii="仿宋" w:hAnsi="仿宋" w:eastAsia="仿宋" w:cs="宋体"/>
          <w:kern w:val="0"/>
          <w:sz w:val="24"/>
          <w:szCs w:val="28"/>
        </w:rPr>
      </w:pPr>
    </w:p>
    <w:p>
      <w:pPr>
        <w:rPr>
          <w:u w:val="single"/>
        </w:rPr>
      </w:pPr>
      <w:r>
        <w:rPr>
          <w:rFonts w:hint="eastAsia"/>
          <w:u w:val="single"/>
        </w:rPr>
        <w:t>1.评分标准附表</w:t>
      </w:r>
    </w:p>
    <w:tbl>
      <w:tblPr>
        <w:tblStyle w:val="23"/>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955"/>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rPr>
            </w:pPr>
            <w:bookmarkStart w:id="31" w:name="_Hlk161061089"/>
            <w:r>
              <w:rPr>
                <w:rFonts w:hint="eastAsia" w:ascii="宋体" w:hAnsi="宋体" w:cs="宋体"/>
                <w:kern w:val="0"/>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rPr>
            </w:pPr>
            <w:r>
              <w:rPr>
                <w:rFonts w:hint="eastAsia" w:ascii="宋体" w:hAnsi="宋体" w:cs="宋体"/>
                <w:kern w:val="0"/>
              </w:rPr>
              <w:t>评审因素</w:t>
            </w:r>
          </w:p>
        </w:tc>
        <w:tc>
          <w:tcPr>
            <w:tcW w:w="955"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rPr>
            </w:pPr>
            <w:r>
              <w:rPr>
                <w:rFonts w:hint="eastAsia" w:ascii="宋体" w:hAnsi="宋体" w:cs="宋体"/>
                <w:kern w:val="0"/>
              </w:rPr>
              <w:t>分数</w:t>
            </w:r>
          </w:p>
        </w:tc>
        <w:tc>
          <w:tcPr>
            <w:tcW w:w="7417"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rPr>
            </w:pPr>
            <w:r>
              <w:rPr>
                <w:rFonts w:hint="eastAsia" w:ascii="宋体" w:hAnsi="宋体" w:cs="宋体"/>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ascii="宋体" w:hAnsi="宋体" w:cs="宋体"/>
                <w:kern w:val="0"/>
              </w:rPr>
            </w:pPr>
            <w:r>
              <w:rPr>
                <w:rFonts w:hint="eastAsia" w:ascii="宋体" w:hAnsi="宋体" w:cs="宋体"/>
                <w:kern w:val="0"/>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8"/>
              <w:contextualSpacing/>
              <w:jc w:val="center"/>
              <w:rPr>
                <w:rFonts w:ascii="宋体" w:hAnsi="宋体" w:cs="宋体"/>
                <w:sz w:val="21"/>
              </w:rPr>
            </w:pPr>
            <w:r>
              <w:rPr>
                <w:rFonts w:hint="eastAsia" w:ascii="宋体" w:hAnsi="宋体" w:cs="宋体"/>
                <w:sz w:val="21"/>
              </w:rPr>
              <w:t>价格</w:t>
            </w:r>
          </w:p>
        </w:tc>
        <w:tc>
          <w:tcPr>
            <w:tcW w:w="955" w:type="dxa"/>
            <w:tcBorders>
              <w:top w:val="single" w:color="auto" w:sz="4" w:space="0"/>
              <w:left w:val="single" w:color="auto" w:sz="4" w:space="0"/>
              <w:bottom w:val="single" w:color="auto" w:sz="4" w:space="0"/>
              <w:right w:val="single" w:color="auto" w:sz="4" w:space="0"/>
            </w:tcBorders>
            <w:vAlign w:val="center"/>
          </w:tcPr>
          <w:p>
            <w:pPr>
              <w:widowControl/>
              <w:contextualSpacing/>
              <w:rPr>
                <w:rFonts w:ascii="宋体" w:hAnsi="宋体" w:cs="宋体"/>
                <w:kern w:val="0"/>
              </w:rPr>
            </w:pPr>
            <w:r>
              <w:rPr>
                <w:rFonts w:hint="eastAsia" w:ascii="宋体" w:hAnsi="宋体" w:cs="宋体"/>
              </w:rPr>
              <w:t>30分</w:t>
            </w:r>
          </w:p>
        </w:tc>
        <w:tc>
          <w:tcPr>
            <w:tcW w:w="7417"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cs="宋体"/>
              </w:rPr>
            </w:pPr>
            <w:r>
              <w:rPr>
                <w:rFonts w:hint="eastAsia" w:ascii="宋体" w:hAnsi="宋体" w:cs="宋体"/>
              </w:rPr>
              <w:t>采用低价优先法计算：以满足招标文件要求且投标价格最低的投标报价为评标基准价，其价格满分30分，其他投标人的价格分按照下列公式计算：报价得分=（评标基准价/投标报价）×30。当投标报价高于本次项目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09" w:type="dxa"/>
            <w:tcBorders>
              <w:top w:val="single" w:color="auto" w:sz="4" w:space="0"/>
              <w:left w:val="single" w:color="auto" w:sz="4" w:space="0"/>
              <w:right w:val="single" w:color="auto" w:sz="4" w:space="0"/>
            </w:tcBorders>
            <w:vAlign w:val="center"/>
          </w:tcPr>
          <w:p>
            <w:pPr>
              <w:widowControl/>
              <w:contextualSpacing/>
              <w:jc w:val="left"/>
              <w:rPr>
                <w:rFonts w:ascii="宋体" w:hAnsi="宋体" w:cs="宋体"/>
                <w:kern w:val="0"/>
              </w:rPr>
            </w:pPr>
            <w:r>
              <w:rPr>
                <w:rFonts w:hint="eastAsia" w:ascii="宋体" w:hAnsi="宋体" w:cs="宋体"/>
                <w:kern w:val="0"/>
              </w:rPr>
              <w:t>2</w:t>
            </w:r>
          </w:p>
        </w:tc>
        <w:tc>
          <w:tcPr>
            <w:tcW w:w="1134" w:type="dxa"/>
            <w:tcBorders>
              <w:top w:val="single" w:color="auto" w:sz="4" w:space="0"/>
              <w:left w:val="single" w:color="auto" w:sz="4" w:space="0"/>
              <w:right w:val="single" w:color="auto" w:sz="4" w:space="0"/>
            </w:tcBorders>
            <w:vAlign w:val="center"/>
          </w:tcPr>
          <w:p>
            <w:pPr>
              <w:widowControl/>
              <w:contextualSpacing/>
              <w:jc w:val="center"/>
              <w:rPr>
                <w:rFonts w:ascii="宋体" w:hAnsi="宋体" w:cs="宋体"/>
                <w:kern w:val="0"/>
              </w:rPr>
            </w:pPr>
            <w:r>
              <w:rPr>
                <w:rFonts w:hint="eastAsia" w:ascii="宋体" w:hAnsi="宋体"/>
              </w:rPr>
              <w:t>产品功能、性能、配置要求</w:t>
            </w:r>
          </w:p>
        </w:tc>
        <w:tc>
          <w:tcPr>
            <w:tcW w:w="955" w:type="dxa"/>
            <w:tcBorders>
              <w:top w:val="single" w:color="auto" w:sz="4" w:space="0"/>
              <w:left w:val="single" w:color="auto" w:sz="4" w:space="0"/>
              <w:bottom w:val="single" w:color="auto" w:sz="4" w:space="0"/>
              <w:right w:val="single" w:color="auto" w:sz="4" w:space="0"/>
            </w:tcBorders>
            <w:vAlign w:val="center"/>
          </w:tcPr>
          <w:p>
            <w:pPr>
              <w:widowControl/>
              <w:contextualSpacing/>
              <w:rPr>
                <w:rFonts w:ascii="宋体" w:hAnsi="宋体" w:cs="宋体"/>
                <w:kern w:val="0"/>
              </w:rPr>
            </w:pPr>
            <w:r>
              <w:rPr>
                <w:rFonts w:ascii="宋体" w:hAnsi="宋体" w:cs="宋体"/>
              </w:rPr>
              <w:t>20</w:t>
            </w:r>
            <w:r>
              <w:rPr>
                <w:rFonts w:hint="eastAsia" w:ascii="宋体" w:hAnsi="宋体" w:cs="宋体"/>
              </w:rPr>
              <w:t>分</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ascii="宋体" w:hAnsi="宋体" w:cs="宋体"/>
              </w:rPr>
            </w:pPr>
            <w:r>
              <w:rPr>
                <w:rFonts w:hint="eastAsia" w:ascii="宋体" w:hAnsi="宋体" w:cs="楷体_GB2312"/>
                <w:snapToGrid w:val="0"/>
                <w:kern w:val="0"/>
                <w:lang w:val="zh-CN"/>
              </w:rPr>
              <w:t>商务及技术参数响应情况占</w:t>
            </w:r>
            <w:r>
              <w:rPr>
                <w:rFonts w:ascii="宋体" w:hAnsi="宋体" w:cs="楷体_GB2312"/>
                <w:snapToGrid w:val="0"/>
                <w:kern w:val="0"/>
                <w:lang w:val="zh-CN"/>
              </w:rPr>
              <w:t>20</w:t>
            </w:r>
            <w:r>
              <w:rPr>
                <w:rFonts w:hint="eastAsia" w:ascii="宋体" w:hAnsi="宋体" w:cs="楷体_GB2312"/>
                <w:snapToGrid w:val="0"/>
                <w:kern w:val="0"/>
                <w:lang w:val="zh-CN"/>
              </w:rPr>
              <w:t>分，具体由磋商采购小组根据供应商响应文件中产品情况、《技术参数响应表》、《商务条款响应表》等有关资料打分。其中：完全满足采购文件商务及技术参数要求的得</w:t>
            </w:r>
            <w:r>
              <w:rPr>
                <w:rFonts w:ascii="宋体" w:hAnsi="宋体" w:cs="楷体_GB2312"/>
                <w:snapToGrid w:val="0"/>
                <w:kern w:val="0"/>
              </w:rPr>
              <w:t>20</w:t>
            </w:r>
            <w:r>
              <w:rPr>
                <w:rFonts w:hint="eastAsia" w:ascii="宋体" w:hAnsi="宋体" w:cs="楷体_GB2312"/>
                <w:snapToGrid w:val="0"/>
                <w:kern w:val="0"/>
                <w:lang w:val="zh-CN"/>
              </w:rPr>
              <w:t>分；在此基础上，采购文件中</w:t>
            </w:r>
            <w:r>
              <w:rPr>
                <w:rFonts w:hint="eastAsia" w:ascii="宋体" w:hAnsi="宋体"/>
              </w:rPr>
              <w:t>标注★号指标为</w:t>
            </w:r>
            <w:r>
              <w:rPr>
                <w:rFonts w:hint="eastAsia" w:ascii="宋体" w:hAnsi="宋体" w:cs="楷体_GB2312"/>
                <w:snapToGrid w:val="0"/>
                <w:kern w:val="0"/>
                <w:lang w:val="zh-CN"/>
              </w:rPr>
              <w:t>重要技术参数</w:t>
            </w:r>
            <w:r>
              <w:rPr>
                <w:rFonts w:hint="eastAsia" w:ascii="宋体" w:hAnsi="宋体"/>
              </w:rPr>
              <w:t>，有一项负偏离扣</w:t>
            </w:r>
            <w:r>
              <w:rPr>
                <w:rFonts w:ascii="宋体" w:hAnsi="宋体"/>
              </w:rPr>
              <w:t>2</w:t>
            </w:r>
            <w:r>
              <w:rPr>
                <w:rFonts w:hint="eastAsia" w:ascii="宋体" w:hAnsi="宋体"/>
              </w:rPr>
              <w:t>分；其他有一项负偏离扣</w:t>
            </w:r>
            <w:r>
              <w:rPr>
                <w:rFonts w:ascii="宋体" w:hAnsi="宋体"/>
              </w:rPr>
              <w:t>0.5</w:t>
            </w:r>
            <w:r>
              <w:rPr>
                <w:rFonts w:hint="eastAsia" w:ascii="宋体" w:hAnsi="宋体"/>
              </w:rPr>
              <w:t>分，扣完为止。</w:t>
            </w:r>
            <w:r>
              <w:rPr>
                <w:rFonts w:hint="eastAsia" w:ascii="宋体" w:hAnsi="宋体"/>
                <w:highlight w:val="lightGray"/>
              </w:rPr>
              <w:t>★号指标需</w:t>
            </w:r>
            <w:r>
              <w:rPr>
                <w:rFonts w:hint="eastAsia" w:ascii="宋体" w:hAnsi="宋体"/>
                <w:highlight w:val="lightGray"/>
                <w:lang w:bidi="zh-CN"/>
              </w:rPr>
              <w:t>供应商提供产品白皮书或者第三方权威检测报告，并加盖供应商公章</w:t>
            </w:r>
            <w:r>
              <w:rPr>
                <w:rFonts w:hint="eastAsia" w:ascii="宋体" w:hAnsi="宋体"/>
                <w:highlight w:val="lightGray"/>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left"/>
              <w:rPr>
                <w:rFonts w:ascii="宋体" w:hAnsi="宋体" w:cs="宋体"/>
                <w:kern w:val="0"/>
              </w:rPr>
            </w:pPr>
            <w:r>
              <w:rPr>
                <w:rFonts w:hint="eastAsia" w:ascii="宋体" w:hAnsi="宋体" w:cs="宋体"/>
                <w:kern w:val="0"/>
              </w:rPr>
              <w:t>3</w:t>
            </w:r>
          </w:p>
        </w:tc>
        <w:tc>
          <w:tcPr>
            <w:tcW w:w="1134" w:type="dxa"/>
            <w:tcBorders>
              <w:left w:val="single" w:color="auto" w:sz="4" w:space="0"/>
              <w:right w:val="single" w:color="auto" w:sz="4" w:space="0"/>
            </w:tcBorders>
            <w:vAlign w:val="center"/>
          </w:tcPr>
          <w:p>
            <w:pPr>
              <w:widowControl/>
              <w:contextualSpacing/>
              <w:jc w:val="center"/>
              <w:rPr>
                <w:rFonts w:ascii="宋体" w:hAnsi="宋体" w:cs="宋体"/>
              </w:rPr>
            </w:pPr>
            <w:r>
              <w:rPr>
                <w:rFonts w:hint="eastAsia" w:ascii="宋体" w:hAnsi="宋体" w:cs="宋体"/>
              </w:rPr>
              <w:t>技术方案</w:t>
            </w:r>
          </w:p>
        </w:tc>
        <w:tc>
          <w:tcPr>
            <w:tcW w:w="955" w:type="dxa"/>
            <w:tcBorders>
              <w:left w:val="single" w:color="auto" w:sz="4" w:space="0"/>
              <w:bottom w:val="single" w:color="auto" w:sz="4" w:space="0"/>
              <w:right w:val="single" w:color="auto" w:sz="4" w:space="0"/>
            </w:tcBorders>
            <w:vAlign w:val="center"/>
          </w:tcPr>
          <w:p>
            <w:pPr>
              <w:widowControl/>
              <w:contextualSpacing/>
              <w:rPr>
                <w:rFonts w:ascii="宋体" w:hAnsi="宋体" w:cs="宋体"/>
              </w:rPr>
            </w:pPr>
            <w:r>
              <w:rPr>
                <w:rFonts w:hint="eastAsia" w:ascii="宋体" w:hAnsi="宋体" w:cs="宋体"/>
              </w:rPr>
              <w:t>1</w:t>
            </w:r>
            <w:r>
              <w:rPr>
                <w:rFonts w:ascii="宋体" w:hAnsi="宋体" w:cs="宋体"/>
              </w:rPr>
              <w:t>5</w:t>
            </w:r>
            <w:r>
              <w:rPr>
                <w:rFonts w:hint="eastAsia" w:ascii="宋体" w:hAnsi="宋体" w:cs="宋体"/>
              </w:rPr>
              <w:t>分</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根据供应商提供的技术方案进行综合评分：</w:t>
            </w:r>
          </w:p>
          <w:p>
            <w:pPr>
              <w:widowControl/>
              <w:contextualSpacing/>
              <w:jc w:val="left"/>
              <w:rPr>
                <w:rFonts w:ascii="宋体" w:hAnsi="宋体" w:cs="宋体" w:eastAsiaTheme="minorEastAsia"/>
              </w:rPr>
            </w:pPr>
            <w:r>
              <w:rPr>
                <w:rFonts w:hint="eastAsia" w:cs="宋体" w:asciiTheme="minorEastAsia" w:hAnsiTheme="minorEastAsia" w:eastAsiaTheme="minorEastAsia"/>
              </w:rPr>
              <w:t>供应商提供的技术方案需涵盖全市视频会议网络架构和互联互通方案、所配设备性能和可拓展性、设备安全策略和机制、MCU的可用性和易用性、所配设备技术选型分析等5个板块，评审</w:t>
            </w:r>
            <w:r>
              <w:rPr>
                <w:rFonts w:hint="eastAsia" w:ascii="宋体" w:hAnsi="宋体" w:cs="宋体"/>
              </w:rPr>
              <w:t>进行综合评分：其中</w:t>
            </w:r>
            <w:r>
              <w:rPr>
                <w:rFonts w:hint="eastAsia" w:cs="宋体" w:asciiTheme="minorEastAsia" w:hAnsiTheme="minorEastAsia" w:eastAsiaTheme="minorEastAsia"/>
              </w:rPr>
              <w:t>每个板块满分3分，优秀得3分，较好得2分，基本满足得1分，不满足/未提供不得分。本项合计15分。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contextualSpacing/>
              <w:jc w:val="left"/>
              <w:rPr>
                <w:rFonts w:ascii="宋体" w:hAnsi="宋体" w:cs="宋体"/>
                <w:kern w:val="0"/>
              </w:rPr>
            </w:pPr>
            <w:r>
              <w:rPr>
                <w:rFonts w:hint="eastAsia" w:ascii="宋体" w:hAnsi="宋体" w:cs="宋体"/>
                <w:kern w:val="0"/>
              </w:rPr>
              <w:t>4</w:t>
            </w:r>
          </w:p>
        </w:tc>
        <w:tc>
          <w:tcPr>
            <w:tcW w:w="1134" w:type="dxa"/>
            <w:tcBorders>
              <w:left w:val="single" w:color="auto" w:sz="4" w:space="0"/>
              <w:right w:val="single" w:color="auto" w:sz="4" w:space="0"/>
            </w:tcBorders>
            <w:vAlign w:val="center"/>
          </w:tcPr>
          <w:p>
            <w:pPr>
              <w:contextualSpacing/>
              <w:jc w:val="center"/>
              <w:rPr>
                <w:rFonts w:ascii="宋体" w:hAnsi="宋体" w:cs="宋体"/>
              </w:rPr>
            </w:pPr>
            <w:r>
              <w:rPr>
                <w:rFonts w:hint="eastAsia" w:ascii="宋体" w:hAnsi="宋体"/>
              </w:rPr>
              <w:t>实施方案</w:t>
            </w:r>
          </w:p>
        </w:tc>
        <w:tc>
          <w:tcPr>
            <w:tcW w:w="955" w:type="dxa"/>
            <w:tcBorders>
              <w:left w:val="single" w:color="auto" w:sz="4" w:space="0"/>
              <w:bottom w:val="single" w:color="auto" w:sz="4" w:space="0"/>
              <w:right w:val="single" w:color="auto" w:sz="4" w:space="0"/>
            </w:tcBorders>
            <w:vAlign w:val="center"/>
          </w:tcPr>
          <w:p>
            <w:pPr>
              <w:widowControl/>
              <w:contextualSpacing/>
              <w:rPr>
                <w:rFonts w:ascii="宋体" w:hAnsi="宋体" w:cs="宋体"/>
              </w:rPr>
            </w:pPr>
            <w:r>
              <w:rPr>
                <w:rFonts w:hint="eastAsia" w:ascii="宋体" w:hAnsi="宋体" w:cs="宋体"/>
              </w:rPr>
              <w:t>1</w:t>
            </w:r>
            <w:r>
              <w:rPr>
                <w:rFonts w:ascii="宋体" w:hAnsi="宋体" w:cs="宋体"/>
              </w:rPr>
              <w:t>5</w:t>
            </w:r>
            <w:r>
              <w:rPr>
                <w:rFonts w:hint="eastAsia" w:ascii="宋体" w:hAnsi="宋体" w:cs="宋体"/>
              </w:rPr>
              <w:t>分</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ascii="宋体" w:hAnsi="宋体" w:cs="宋体"/>
              </w:rPr>
            </w:pPr>
            <w:r>
              <w:rPr>
                <w:rFonts w:hint="eastAsia" w:ascii="宋体" w:hAnsi="宋体" w:cs="宋体"/>
              </w:rPr>
              <w:t>根据供应商提供的本项目实施方案进行综合评分：</w:t>
            </w:r>
          </w:p>
          <w:p>
            <w:pPr>
              <w:widowControl/>
              <w:contextualSpacing/>
              <w:jc w:val="left"/>
              <w:rPr>
                <w:rFonts w:ascii="宋体" w:hAnsi="宋体" w:cs="宋体"/>
                <w:color w:val="000000"/>
                <w:kern w:val="0"/>
                <w:lang w:bidi="zh-CN"/>
              </w:rPr>
            </w:pPr>
            <w:r>
              <w:rPr>
                <w:rFonts w:hint="eastAsia" w:cs="宋体" w:asciiTheme="minorEastAsia" w:hAnsiTheme="minorEastAsia" w:eastAsiaTheme="minorEastAsia"/>
              </w:rPr>
              <w:t>供应商提供的实施方案需涵盖</w:t>
            </w:r>
            <w:r>
              <w:rPr>
                <w:rFonts w:hint="eastAsia" w:ascii="宋体" w:hAnsi="宋体" w:cs="宋体"/>
              </w:rPr>
              <w:t>组织架构、进度控制、风险控制管理、质量保障措施、安全管理措施5个版块，</w:t>
            </w:r>
            <w:r>
              <w:rPr>
                <w:rFonts w:hint="eastAsia" w:cs="宋体" w:asciiTheme="minorEastAsia" w:hAnsiTheme="minorEastAsia" w:eastAsiaTheme="minorEastAsia"/>
              </w:rPr>
              <w:t>评审</w:t>
            </w:r>
            <w:r>
              <w:rPr>
                <w:rFonts w:hint="eastAsia" w:ascii="宋体" w:hAnsi="宋体" w:cs="宋体"/>
              </w:rPr>
              <w:t>进行综合评分：其中</w:t>
            </w:r>
            <w:r>
              <w:rPr>
                <w:rFonts w:hint="eastAsia" w:cs="宋体" w:asciiTheme="minorEastAsia" w:hAnsiTheme="minorEastAsia" w:eastAsiaTheme="minorEastAsia"/>
              </w:rPr>
              <w:t>每个板块满分3分，优秀得3分，较好得2分，基本满足得1分，不满足/未提供不得分。本项合计15分。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left"/>
              <w:rPr>
                <w:rFonts w:ascii="宋体" w:hAnsi="宋体" w:cs="宋体"/>
                <w:kern w:val="0"/>
              </w:rPr>
            </w:pPr>
            <w:r>
              <w:rPr>
                <w:rFonts w:hint="eastAsia" w:ascii="宋体" w:hAnsi="宋体" w:cs="宋体"/>
                <w:kern w:val="0"/>
              </w:rPr>
              <w:t>5</w:t>
            </w:r>
          </w:p>
        </w:tc>
        <w:tc>
          <w:tcPr>
            <w:tcW w:w="1134" w:type="dxa"/>
            <w:tcBorders>
              <w:left w:val="single" w:color="auto" w:sz="4" w:space="0"/>
              <w:right w:val="single" w:color="auto" w:sz="4" w:space="0"/>
            </w:tcBorders>
            <w:vAlign w:val="center"/>
          </w:tcPr>
          <w:p>
            <w:pPr>
              <w:widowControl/>
              <w:contextualSpacing/>
              <w:jc w:val="center"/>
              <w:rPr>
                <w:rFonts w:ascii="宋体" w:hAnsi="宋体" w:cs="宋体"/>
              </w:rPr>
            </w:pPr>
            <w:r>
              <w:rPr>
                <w:rFonts w:hint="eastAsia" w:ascii="宋体" w:hAnsi="宋体"/>
              </w:rPr>
              <w:t>应急预案</w:t>
            </w:r>
          </w:p>
        </w:tc>
        <w:tc>
          <w:tcPr>
            <w:tcW w:w="955" w:type="dxa"/>
            <w:tcBorders>
              <w:left w:val="single" w:color="auto" w:sz="4" w:space="0"/>
              <w:bottom w:val="single" w:color="auto" w:sz="4" w:space="0"/>
              <w:right w:val="single" w:color="auto" w:sz="4" w:space="0"/>
            </w:tcBorders>
            <w:vAlign w:val="center"/>
          </w:tcPr>
          <w:p>
            <w:pPr>
              <w:widowControl/>
              <w:contextualSpacing/>
              <w:rPr>
                <w:rFonts w:ascii="宋体" w:hAnsi="宋体" w:cs="宋体"/>
              </w:rPr>
            </w:pPr>
            <w:r>
              <w:rPr>
                <w:rFonts w:ascii="宋体" w:hAnsi="宋体" w:cs="宋体"/>
              </w:rPr>
              <w:t>6</w:t>
            </w:r>
            <w:r>
              <w:rPr>
                <w:rFonts w:hint="eastAsia" w:ascii="宋体" w:hAnsi="宋体" w:cs="宋体"/>
              </w:rPr>
              <w:t>分</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cs="宋体" w:asciiTheme="minorEastAsia" w:hAnsiTheme="minorEastAsia" w:eastAsiaTheme="minorEastAsia"/>
              </w:rPr>
              <w:t>根据</w:t>
            </w:r>
            <w:r>
              <w:rPr>
                <w:rFonts w:hint="eastAsia" w:cs="宋体" w:asciiTheme="minorEastAsia" w:hAnsiTheme="minorEastAsia" w:eastAsiaTheme="minorEastAsia"/>
              </w:rPr>
              <w:t>供应商</w:t>
            </w:r>
            <w:r>
              <w:rPr>
                <w:rFonts w:cs="宋体" w:asciiTheme="minorEastAsia" w:hAnsiTheme="minorEastAsia" w:eastAsiaTheme="minorEastAsia"/>
              </w:rPr>
              <w:t>提供的</w:t>
            </w:r>
            <w:r>
              <w:rPr>
                <w:rFonts w:hint="eastAsia" w:cs="宋体" w:asciiTheme="minorEastAsia" w:hAnsiTheme="minorEastAsia" w:eastAsiaTheme="minorEastAsia"/>
              </w:rPr>
              <w:t>应急预案进行综合评分：</w:t>
            </w:r>
          </w:p>
          <w:p>
            <w:pPr>
              <w:widowControl/>
              <w:contextualSpacing/>
              <w:jc w:val="left"/>
              <w:rPr>
                <w:rFonts w:ascii="宋体" w:hAnsi="宋体" w:cs="宋体"/>
                <w:color w:val="000000"/>
                <w:kern w:val="0"/>
                <w:lang w:bidi="zh-CN"/>
              </w:rPr>
            </w:pPr>
            <w:r>
              <w:rPr>
                <w:rFonts w:hint="eastAsia" w:cs="宋体" w:asciiTheme="minorEastAsia" w:hAnsiTheme="minorEastAsia" w:eastAsiaTheme="minorEastAsia"/>
              </w:rPr>
              <w:t>供应商提供的实施方案需涵盖</w:t>
            </w:r>
            <w:r>
              <w:rPr>
                <w:rFonts w:cs="宋体" w:asciiTheme="minorEastAsia" w:hAnsiTheme="minorEastAsia" w:eastAsiaTheme="minorEastAsia"/>
              </w:rPr>
              <w:t>设备故障处理、备机的配备</w:t>
            </w:r>
            <w:r>
              <w:rPr>
                <w:rFonts w:hint="eastAsia" w:cs="宋体" w:asciiTheme="minorEastAsia" w:hAnsiTheme="minorEastAsia" w:eastAsiaTheme="minorEastAsia"/>
              </w:rPr>
              <w:t>2个板块，评审</w:t>
            </w:r>
            <w:r>
              <w:rPr>
                <w:rFonts w:hint="eastAsia" w:ascii="宋体" w:hAnsi="宋体" w:cs="宋体"/>
              </w:rPr>
              <w:t>进行综合评分：其中</w:t>
            </w:r>
            <w:r>
              <w:rPr>
                <w:rFonts w:hint="eastAsia" w:cs="宋体" w:asciiTheme="minorEastAsia" w:hAnsiTheme="minorEastAsia" w:eastAsiaTheme="minorEastAsia"/>
              </w:rPr>
              <w:t>每个板块满分3分，优秀得3分，较好得2分，基本满足得1分，不满足/未提供不得分。本项合计6分。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left"/>
              <w:rPr>
                <w:rFonts w:ascii="宋体" w:hAnsi="宋体" w:cs="宋体"/>
                <w:kern w:val="0"/>
              </w:rPr>
            </w:pPr>
            <w:r>
              <w:rPr>
                <w:rFonts w:ascii="宋体" w:hAnsi="宋体" w:cs="宋体"/>
                <w:kern w:val="0"/>
              </w:rPr>
              <w:t>6</w:t>
            </w:r>
          </w:p>
        </w:tc>
        <w:tc>
          <w:tcPr>
            <w:tcW w:w="1134" w:type="dxa"/>
            <w:tcBorders>
              <w:left w:val="single" w:color="auto" w:sz="4" w:space="0"/>
              <w:right w:val="single" w:color="auto" w:sz="4" w:space="0"/>
            </w:tcBorders>
            <w:vAlign w:val="center"/>
          </w:tcPr>
          <w:p>
            <w:pPr>
              <w:widowControl/>
              <w:contextualSpacing/>
              <w:jc w:val="center"/>
              <w:rPr>
                <w:rFonts w:ascii="宋体" w:hAnsi="宋体" w:cs="宋体"/>
                <w:color w:val="000000"/>
                <w:kern w:val="0"/>
              </w:rPr>
            </w:pPr>
            <w:r>
              <w:rPr>
                <w:rFonts w:hint="eastAsia" w:ascii="宋体" w:hAnsi="宋体"/>
              </w:rPr>
              <w:t>技术培训</w:t>
            </w:r>
          </w:p>
        </w:tc>
        <w:tc>
          <w:tcPr>
            <w:tcW w:w="955" w:type="dxa"/>
            <w:tcBorders>
              <w:left w:val="single" w:color="auto" w:sz="4" w:space="0"/>
              <w:bottom w:val="single" w:color="auto" w:sz="4" w:space="0"/>
              <w:right w:val="single" w:color="auto" w:sz="4" w:space="0"/>
            </w:tcBorders>
            <w:vAlign w:val="center"/>
          </w:tcPr>
          <w:p>
            <w:pPr>
              <w:widowControl/>
              <w:contextualSpacing/>
              <w:rPr>
                <w:rFonts w:ascii="宋体" w:hAnsi="宋体" w:cs="宋体"/>
              </w:rPr>
            </w:pPr>
            <w:r>
              <w:rPr>
                <w:rFonts w:ascii="宋体" w:hAnsi="宋体" w:cs="宋体"/>
              </w:rPr>
              <w:t>6</w:t>
            </w:r>
            <w:r>
              <w:rPr>
                <w:rFonts w:hint="eastAsia" w:ascii="宋体" w:hAnsi="宋体" w:cs="宋体"/>
              </w:rPr>
              <w:t>分</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根据供应商针对本项目所投产品对最终用户工程师提供的维护技术培训方案进行综合评分：</w:t>
            </w:r>
          </w:p>
          <w:p>
            <w:pPr>
              <w:widowControl/>
              <w:contextualSpacing/>
              <w:jc w:val="left"/>
              <w:rPr>
                <w:rFonts w:ascii="宋体" w:hAnsi="宋体" w:cs="宋体"/>
              </w:rPr>
            </w:pPr>
            <w:r>
              <w:rPr>
                <w:rFonts w:hint="eastAsia" w:cs="宋体" w:asciiTheme="minorEastAsia" w:hAnsiTheme="minorEastAsia" w:eastAsiaTheme="minorEastAsia"/>
              </w:rPr>
              <w:t>供应商提供的技术培训方案需涵盖培训师资、培训方式等2个板块，</w:t>
            </w:r>
            <w:r>
              <w:rPr>
                <w:rFonts w:hint="eastAsia" w:ascii="宋体" w:hAnsi="宋体" w:cs="宋体"/>
              </w:rPr>
              <w:t>其中</w:t>
            </w:r>
            <w:r>
              <w:rPr>
                <w:rFonts w:hint="eastAsia" w:cs="宋体" w:asciiTheme="minorEastAsia" w:hAnsiTheme="minorEastAsia" w:eastAsiaTheme="minorEastAsia"/>
              </w:rPr>
              <w:t>每个板块满分3分，优秀得3分，较好得2分，基本满足得1分，不满足/未提供不得分。本项合计6分。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09" w:type="dxa"/>
            <w:tcBorders>
              <w:left w:val="single" w:color="auto" w:sz="4" w:space="0"/>
              <w:right w:val="single" w:color="auto" w:sz="4" w:space="0"/>
            </w:tcBorders>
            <w:vAlign w:val="center"/>
          </w:tcPr>
          <w:p>
            <w:pPr>
              <w:widowControl/>
              <w:contextualSpacing/>
              <w:jc w:val="left"/>
              <w:rPr>
                <w:rFonts w:ascii="宋体" w:hAnsi="宋体" w:cs="宋体"/>
                <w:kern w:val="0"/>
              </w:rPr>
            </w:pPr>
            <w:r>
              <w:rPr>
                <w:rFonts w:ascii="宋体" w:hAnsi="宋体" w:cs="宋体"/>
                <w:kern w:val="0"/>
              </w:rPr>
              <w:t>7</w:t>
            </w:r>
          </w:p>
        </w:tc>
        <w:tc>
          <w:tcPr>
            <w:tcW w:w="1134" w:type="dxa"/>
            <w:tcBorders>
              <w:left w:val="single" w:color="auto" w:sz="4" w:space="0"/>
              <w:right w:val="single" w:color="auto" w:sz="4" w:space="0"/>
            </w:tcBorders>
            <w:vAlign w:val="center"/>
          </w:tcPr>
          <w:p>
            <w:pPr>
              <w:widowControl/>
              <w:contextualSpacing/>
              <w:jc w:val="center"/>
              <w:rPr>
                <w:rFonts w:ascii="宋体" w:hAnsi="宋体" w:cs="宋体"/>
              </w:rPr>
            </w:pPr>
            <w:r>
              <w:rPr>
                <w:rFonts w:hint="eastAsia" w:ascii="宋体" w:hAnsi="宋体" w:cs="宋体"/>
              </w:rPr>
              <w:t>售后服务</w:t>
            </w:r>
          </w:p>
        </w:tc>
        <w:tc>
          <w:tcPr>
            <w:tcW w:w="955" w:type="dxa"/>
            <w:tcBorders>
              <w:left w:val="single" w:color="auto" w:sz="4" w:space="0"/>
              <w:right w:val="single" w:color="auto" w:sz="4" w:space="0"/>
            </w:tcBorders>
            <w:vAlign w:val="center"/>
          </w:tcPr>
          <w:p>
            <w:pPr>
              <w:widowControl/>
              <w:contextualSpacing/>
              <w:rPr>
                <w:rFonts w:ascii="宋体" w:hAnsi="宋体" w:cs="宋体"/>
              </w:rPr>
            </w:pPr>
            <w:r>
              <w:rPr>
                <w:rFonts w:ascii="宋体" w:hAnsi="宋体" w:cs="宋体"/>
              </w:rPr>
              <w:t>4</w:t>
            </w:r>
            <w:r>
              <w:rPr>
                <w:rFonts w:hint="eastAsia" w:ascii="宋体" w:hAnsi="宋体" w:cs="宋体"/>
              </w:rPr>
              <w:t>分</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供应商针对本项目响应产品提供的售后服务（包括售后时间、维修响应等）进行综合评分：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方案内容详实，科学合理，措施可实施性强的得</w:t>
            </w:r>
            <w:r>
              <w:rPr>
                <w:rFonts w:cs="宋体" w:asciiTheme="minorEastAsia" w:hAnsiTheme="minorEastAsia" w:eastAsiaTheme="minorEastAsia"/>
              </w:rPr>
              <w:t>4</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方案内容一般，合理性一般，可实施性弱的得</w:t>
            </w:r>
            <w:r>
              <w:rPr>
                <w:rFonts w:cs="宋体" w:asciiTheme="minorEastAsia" w:hAnsiTheme="minorEastAsia" w:eastAsiaTheme="minorEastAsia"/>
              </w:rPr>
              <w:t>2</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方案内容不详实，合理性较差，可实施性差的得1分；</w:t>
            </w:r>
          </w:p>
          <w:p>
            <w:pPr>
              <w:widowControl/>
              <w:contextualSpacing/>
              <w:jc w:val="left"/>
              <w:rPr>
                <w:rFonts w:ascii="宋体" w:hAnsi="宋体" w:cs="宋体"/>
              </w:rPr>
            </w:pPr>
            <w:r>
              <w:rPr>
                <w:rFonts w:hint="eastAsia" w:cs="宋体" w:asciiTheme="minorEastAsia" w:hAnsiTheme="minorEastAsia" w:eastAsiaTheme="minorEastAsia"/>
              </w:rPr>
              <w:t>未提供或不满足要求的不得分。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left"/>
              <w:rPr>
                <w:rFonts w:ascii="宋体" w:hAnsi="宋体" w:cs="宋体"/>
                <w:kern w:val="0"/>
              </w:rPr>
            </w:pPr>
            <w:r>
              <w:rPr>
                <w:rFonts w:ascii="宋体" w:hAnsi="宋体" w:cs="宋体"/>
                <w:kern w:val="0"/>
              </w:rPr>
              <w:t>8</w:t>
            </w:r>
          </w:p>
        </w:tc>
        <w:tc>
          <w:tcPr>
            <w:tcW w:w="1134" w:type="dxa"/>
            <w:tcBorders>
              <w:left w:val="single" w:color="auto" w:sz="4" w:space="0"/>
              <w:right w:val="single" w:color="auto" w:sz="4" w:space="0"/>
            </w:tcBorders>
            <w:vAlign w:val="center"/>
          </w:tcPr>
          <w:p>
            <w:pPr>
              <w:widowControl/>
              <w:contextualSpacing/>
              <w:jc w:val="center"/>
              <w:rPr>
                <w:rFonts w:ascii="宋体" w:hAnsi="宋体" w:cs="宋体"/>
              </w:rPr>
            </w:pPr>
            <w:r>
              <w:rPr>
                <w:rFonts w:hint="eastAsia" w:ascii="宋体" w:hAnsi="宋体" w:cs="宋体"/>
              </w:rPr>
              <w:t>业绩</w:t>
            </w:r>
          </w:p>
        </w:tc>
        <w:tc>
          <w:tcPr>
            <w:tcW w:w="955" w:type="dxa"/>
            <w:tcBorders>
              <w:left w:val="single" w:color="auto" w:sz="4" w:space="0"/>
              <w:bottom w:val="single" w:color="auto" w:sz="4" w:space="0"/>
              <w:right w:val="single" w:color="auto" w:sz="4" w:space="0"/>
            </w:tcBorders>
            <w:vAlign w:val="center"/>
          </w:tcPr>
          <w:p>
            <w:pPr>
              <w:widowControl/>
              <w:contextualSpacing/>
              <w:rPr>
                <w:rFonts w:ascii="宋体" w:hAnsi="宋体" w:cs="宋体"/>
              </w:rPr>
            </w:pPr>
            <w:r>
              <w:rPr>
                <w:rFonts w:ascii="宋体" w:hAnsi="宋体" w:cs="宋体"/>
              </w:rPr>
              <w:t>2</w:t>
            </w:r>
            <w:r>
              <w:rPr>
                <w:rFonts w:hint="eastAsia" w:ascii="宋体" w:hAnsi="宋体" w:cs="宋体"/>
              </w:rPr>
              <w:t>分</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ascii="宋体" w:hAnsi="宋体" w:cs="宋体"/>
              </w:rPr>
            </w:pPr>
            <w:r>
              <w:rPr>
                <w:rFonts w:hint="eastAsia" w:ascii="宋体" w:hAnsi="宋体" w:cs="宋体"/>
              </w:rPr>
              <w:t>供应商提供自 2</w:t>
            </w:r>
            <w:r>
              <w:rPr>
                <w:rFonts w:ascii="宋体" w:hAnsi="宋体" w:cs="宋体"/>
              </w:rPr>
              <w:t>021</w:t>
            </w:r>
            <w:r>
              <w:rPr>
                <w:rFonts w:hint="eastAsia" w:ascii="宋体" w:hAnsi="宋体" w:cs="宋体"/>
              </w:rPr>
              <w:t>年1 月 1 日（以合同签订时间为准）以来完成类似系统集成项目成功案例，每提供一个得</w:t>
            </w:r>
            <w:r>
              <w:rPr>
                <w:rFonts w:ascii="宋体" w:hAnsi="宋体" w:cs="宋体"/>
              </w:rPr>
              <w:t>1</w:t>
            </w:r>
            <w:r>
              <w:rPr>
                <w:rFonts w:hint="eastAsia" w:ascii="宋体" w:hAnsi="宋体" w:cs="宋体"/>
              </w:rPr>
              <w:t>分，最高得</w:t>
            </w:r>
            <w:r>
              <w:rPr>
                <w:rFonts w:ascii="宋体" w:hAnsi="宋体" w:cs="宋体"/>
              </w:rPr>
              <w:t>2</w:t>
            </w:r>
            <w:r>
              <w:rPr>
                <w:rFonts w:hint="eastAsia" w:ascii="宋体" w:hAnsi="宋体" w:cs="宋体"/>
              </w:rPr>
              <w:t>分，未提供不得分。</w:t>
            </w:r>
          </w:p>
          <w:p>
            <w:pPr>
              <w:widowControl/>
              <w:contextualSpacing/>
              <w:jc w:val="left"/>
              <w:rPr>
                <w:rFonts w:ascii="宋体" w:hAnsi="宋体" w:cs="宋体"/>
              </w:rPr>
            </w:pPr>
            <w:r>
              <w:rPr>
                <w:rFonts w:hint="eastAsia" w:ascii="宋体" w:hAnsi="宋体" w:cs="宋体"/>
                <w:b/>
                <w:bCs/>
                <w:kern w:val="0"/>
              </w:rPr>
              <w:t>（</w:t>
            </w:r>
            <w:r>
              <w:rPr>
                <w:rFonts w:hint="eastAsia" w:ascii="宋体" w:hAnsi="宋体" w:cs="宋体"/>
                <w:kern w:val="0"/>
              </w:rPr>
              <w:t>须提供相应的合同复印件加盖供应商公章</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9" w:type="dxa"/>
            <w:tcBorders>
              <w:left w:val="single" w:color="auto" w:sz="4" w:space="0"/>
              <w:right w:val="single" w:color="auto" w:sz="4" w:space="0"/>
            </w:tcBorders>
            <w:vAlign w:val="center"/>
          </w:tcPr>
          <w:p>
            <w:pPr>
              <w:widowControl/>
              <w:contextualSpacing/>
              <w:jc w:val="left"/>
              <w:rPr>
                <w:rFonts w:ascii="宋体" w:hAnsi="宋体" w:cs="宋体"/>
                <w:kern w:val="0"/>
              </w:rPr>
            </w:pPr>
            <w:r>
              <w:rPr>
                <w:rFonts w:ascii="宋体" w:hAnsi="宋体" w:cs="宋体"/>
                <w:kern w:val="0"/>
              </w:rPr>
              <w:t>10</w:t>
            </w:r>
          </w:p>
        </w:tc>
        <w:tc>
          <w:tcPr>
            <w:tcW w:w="1134" w:type="dxa"/>
            <w:tcBorders>
              <w:left w:val="single" w:color="auto" w:sz="4" w:space="0"/>
              <w:right w:val="single" w:color="auto" w:sz="4" w:space="0"/>
            </w:tcBorders>
            <w:vAlign w:val="center"/>
          </w:tcPr>
          <w:p>
            <w:pPr>
              <w:widowControl/>
              <w:contextualSpacing/>
              <w:jc w:val="center"/>
              <w:rPr>
                <w:rFonts w:ascii="宋体" w:hAnsi="宋体" w:cs="宋体"/>
              </w:rPr>
            </w:pPr>
            <w:r>
              <w:rPr>
                <w:rFonts w:hint="eastAsia" w:ascii="宋体" w:hAnsi="宋体"/>
              </w:rPr>
              <w:t>履约能力</w:t>
            </w:r>
          </w:p>
        </w:tc>
        <w:tc>
          <w:tcPr>
            <w:tcW w:w="955" w:type="dxa"/>
            <w:tcBorders>
              <w:left w:val="single" w:color="auto" w:sz="4" w:space="0"/>
              <w:bottom w:val="single" w:color="auto" w:sz="4" w:space="0"/>
              <w:right w:val="single" w:color="auto" w:sz="4" w:space="0"/>
            </w:tcBorders>
            <w:vAlign w:val="center"/>
          </w:tcPr>
          <w:p>
            <w:pPr>
              <w:widowControl/>
              <w:contextualSpacing/>
              <w:rPr>
                <w:rFonts w:ascii="宋体" w:hAnsi="宋体" w:cs="宋体"/>
              </w:rPr>
            </w:pPr>
            <w:r>
              <w:rPr>
                <w:rFonts w:ascii="宋体" w:hAnsi="宋体" w:cs="宋体"/>
              </w:rPr>
              <w:t>2</w:t>
            </w:r>
            <w:r>
              <w:rPr>
                <w:rFonts w:hint="eastAsia" w:ascii="宋体" w:hAnsi="宋体" w:cs="宋体"/>
              </w:rPr>
              <w:t>分</w:t>
            </w:r>
          </w:p>
        </w:tc>
        <w:tc>
          <w:tcPr>
            <w:tcW w:w="7417" w:type="dxa"/>
            <w:tcBorders>
              <w:top w:val="single" w:color="auto" w:sz="4" w:space="0"/>
              <w:left w:val="single" w:color="auto" w:sz="4" w:space="0"/>
              <w:right w:val="single" w:color="auto" w:sz="4" w:space="0"/>
            </w:tcBorders>
            <w:vAlign w:val="center"/>
          </w:tcPr>
          <w:p>
            <w:pPr>
              <w:widowControl/>
              <w:contextualSpacing/>
              <w:jc w:val="left"/>
              <w:rPr>
                <w:rFonts w:ascii="宋体" w:hAnsi="宋体" w:cs="宋体"/>
              </w:rPr>
            </w:pPr>
            <w:r>
              <w:rPr>
                <w:rFonts w:hint="eastAsia" w:ascii="宋体" w:hAnsi="宋体" w:cs="宋体"/>
              </w:rPr>
              <w:t xml:space="preserve">供应商（或厂家）具有有效期内的 ISO9001 质量管理体系认证证书、ISO27001信息安全管理体系认证证书、ISO45001 职业健康安全管理体系、ISO14001 环境管理体系认证证书，每提供一项得 </w:t>
            </w:r>
            <w:r>
              <w:rPr>
                <w:rFonts w:ascii="宋体" w:hAnsi="宋体" w:cs="宋体"/>
              </w:rPr>
              <w:t>1</w:t>
            </w:r>
            <w:r>
              <w:rPr>
                <w:rFonts w:hint="eastAsia" w:ascii="宋体" w:hAnsi="宋体" w:cs="宋体"/>
              </w:rPr>
              <w:t xml:space="preserve">分，最多得 </w:t>
            </w:r>
            <w:r>
              <w:rPr>
                <w:rFonts w:ascii="宋体" w:hAnsi="宋体" w:cs="宋体"/>
              </w:rPr>
              <w:t>2</w:t>
            </w:r>
            <w:r>
              <w:rPr>
                <w:rFonts w:hint="eastAsia" w:ascii="宋体" w:hAnsi="宋体" w:cs="宋体"/>
              </w:rPr>
              <w:t>分。</w:t>
            </w:r>
          </w:p>
        </w:tc>
      </w:tr>
      <w:bookmarkEnd w:id="31"/>
    </w:tbl>
    <w:p>
      <w:pPr>
        <w:spacing w:line="360" w:lineRule="auto"/>
        <w:rPr>
          <w:u w:val="single"/>
        </w:rPr>
      </w:pPr>
    </w:p>
    <w:p>
      <w:pPr>
        <w:spacing w:line="360" w:lineRule="auto"/>
        <w:rPr>
          <w:u w:val="single"/>
        </w:rPr>
      </w:pPr>
      <w:r>
        <w:rPr>
          <w:u w:val="single"/>
        </w:rPr>
        <w:t>2.小微企业价格扣除</w:t>
      </w:r>
    </w:p>
    <w:p>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u w:val="single"/>
        </w:rPr>
      </w:pPr>
      <w:r>
        <w:rPr>
          <w:u w:val="single"/>
        </w:rPr>
        <w:t>3.监狱和戒毒企业的价格扣除</w:t>
      </w:r>
    </w:p>
    <w:p>
      <w:pPr>
        <w:spacing w:line="360" w:lineRule="auto"/>
        <w:rPr>
          <w:u w:val="single"/>
        </w:rPr>
      </w:pPr>
      <w:r>
        <w:rPr>
          <w:u w:val="single"/>
        </w:rPr>
        <w:t>3.1 本项目对监狱和戒毒企业，给予10%的价格扣除，用扣除后的价格参与评审。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rPr>
          <w:u w:val="single"/>
        </w:rPr>
      </w:pPr>
      <w:r>
        <w:rPr>
          <w:u w:val="single"/>
        </w:rPr>
        <w:t>4.残疾人福利性单位的价格扣除</w:t>
      </w:r>
    </w:p>
    <w:p>
      <w:pPr>
        <w:spacing w:line="360" w:lineRule="auto"/>
        <w:rPr>
          <w:u w:val="single"/>
        </w:rPr>
      </w:pPr>
      <w:r>
        <w:rPr>
          <w:u w:val="single"/>
        </w:rPr>
        <w:t>4.1 本项目对残疾人福利性单位，给予10%的价格扣除，用扣除后的价格参与评审。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pPr>
      <w:r>
        <w:rPr>
          <w:u w:val="single"/>
        </w:rPr>
        <w:t>5. 监狱企业、残疾人福利性单位属于小型、微型企业的，不重复享受政策。</w:t>
      </w:r>
    </w:p>
    <w:p>
      <w:pPr>
        <w:widowControl/>
        <w:spacing w:line="360" w:lineRule="auto"/>
        <w:ind w:firstLine="420" w:firstLineChars="200"/>
        <w:jc w:val="left"/>
      </w:pPr>
    </w:p>
    <w:p>
      <w:pPr>
        <w:widowControl/>
        <w:spacing w:line="360" w:lineRule="auto"/>
        <w:ind w:firstLine="420" w:firstLineChars="200"/>
        <w:jc w:val="left"/>
      </w:pPr>
    </w:p>
    <w:p>
      <w:pPr>
        <w:widowControl/>
        <w:spacing w:line="360" w:lineRule="auto"/>
        <w:ind w:firstLine="420" w:firstLineChars="200"/>
        <w:jc w:val="left"/>
      </w:pPr>
    </w:p>
    <w:p>
      <w:pPr>
        <w:pStyle w:val="3"/>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pPr>
        <w:widowControl/>
        <w:spacing w:line="360" w:lineRule="auto"/>
        <w:ind w:firstLine="482" w:firstLineChars="200"/>
        <w:jc w:val="left"/>
        <w:rPr>
          <w:rFonts w:ascii="仿宋" w:hAnsi="仿宋" w:eastAsia="仿宋" w:cs="宋体"/>
          <w:b/>
          <w:sz w:val="24"/>
          <w:szCs w:val="28"/>
        </w:rPr>
      </w:pPr>
      <w:bookmarkStart w:id="32" w:name="_Toc1008"/>
      <w:bookmarkStart w:id="33" w:name="_Toc70595630"/>
      <w:bookmarkStart w:id="34" w:name="_Toc70596389"/>
      <w:bookmarkStart w:id="35" w:name="_Toc70595629"/>
      <w:bookmarkStart w:id="36" w:name="_Toc70596388"/>
      <w:r>
        <w:rPr>
          <w:rFonts w:hint="eastAsia" w:ascii="仿宋" w:hAnsi="仿宋" w:eastAsia="仿宋" w:cs="宋体"/>
          <w:b/>
          <w:sz w:val="24"/>
          <w:szCs w:val="28"/>
        </w:rPr>
        <w:t>一、</w:t>
      </w:r>
      <w:bookmarkEnd w:id="32"/>
      <w:bookmarkEnd w:id="33"/>
      <w:bookmarkEnd w:id="34"/>
      <w:r>
        <w:rPr>
          <w:rFonts w:hint="eastAsia" w:ascii="仿宋" w:hAnsi="仿宋" w:eastAsia="仿宋" w:cs="宋体"/>
          <w:b/>
          <w:sz w:val="24"/>
          <w:szCs w:val="28"/>
        </w:rPr>
        <w:t>采购需求内容</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购置南京市疾病预防控制中心的超高清视频会议系统，对照《转发关于应发监测预警与应急指挥能力提升项目工作任务清单的通知》要求，实现与省疾控中心、各区级疾控机构的视频会议会场接入。</w:t>
      </w:r>
    </w:p>
    <w:p>
      <w:pPr>
        <w:widowControl/>
        <w:spacing w:line="360" w:lineRule="auto"/>
        <w:ind w:firstLine="480" w:firstLineChars="200"/>
        <w:jc w:val="left"/>
      </w:pPr>
      <w:r>
        <w:rPr>
          <w:rFonts w:hint="eastAsia" w:ascii="仿宋" w:hAnsi="仿宋" w:eastAsia="仿宋" w:cs="宋体"/>
          <w:sz w:val="24"/>
          <w:szCs w:val="28"/>
        </w:rPr>
        <w:t>硬件质保：设备质保至少3年。</w:t>
      </w:r>
    </w:p>
    <w:p>
      <w:pPr>
        <w:widowControl/>
        <w:numPr>
          <w:ilvl w:val="255"/>
          <w:numId w:val="0"/>
        </w:numPr>
        <w:spacing w:line="360" w:lineRule="auto"/>
        <w:ind w:firstLine="420" w:firstLineChars="200"/>
        <w:jc w:val="left"/>
        <w:rPr>
          <w:rFonts w:hint="eastAsia" w:ascii="仿宋" w:hAnsi="仿宋" w:eastAsia="仿宋" w:cs="宋体"/>
          <w:b/>
          <w:sz w:val="24"/>
          <w:szCs w:val="28"/>
        </w:rPr>
      </w:pPr>
      <w:r>
        <w:rPr>
          <w:rFonts w:hint="eastAsia"/>
        </w:rPr>
        <w:t>二、</w:t>
      </w:r>
      <w:r>
        <w:rPr>
          <w:rFonts w:hint="eastAsia" w:ascii="仿宋" w:hAnsi="仿宋" w:eastAsia="仿宋" w:cs="宋体"/>
          <w:b/>
          <w:sz w:val="24"/>
          <w:szCs w:val="28"/>
        </w:rPr>
        <w:t>设备清单及</w:t>
      </w:r>
      <w:bookmarkEnd w:id="35"/>
      <w:bookmarkEnd w:id="36"/>
      <w:r>
        <w:rPr>
          <w:rFonts w:hint="eastAsia" w:ascii="仿宋" w:hAnsi="仿宋" w:eastAsia="仿宋" w:cs="宋体"/>
          <w:b/>
          <w:sz w:val="24"/>
          <w:szCs w:val="28"/>
        </w:rPr>
        <w:t>技术要求</w:t>
      </w:r>
    </w:p>
    <w:p>
      <w:pPr>
        <w:widowControl/>
        <w:numPr>
          <w:ilvl w:val="255"/>
          <w:numId w:val="0"/>
        </w:numPr>
        <w:spacing w:line="360" w:lineRule="auto"/>
        <w:ind w:firstLine="482" w:firstLineChars="200"/>
        <w:jc w:val="left"/>
        <w:rPr>
          <w:rFonts w:hint="eastAsia" w:ascii="仿宋" w:hAnsi="仿宋" w:eastAsia="仿宋" w:cs="宋体"/>
          <w:b/>
          <w:sz w:val="24"/>
          <w:szCs w:val="28"/>
        </w:rPr>
      </w:pPr>
      <w:r>
        <w:rPr>
          <w:rFonts w:hint="eastAsia" w:ascii="仿宋" w:hAnsi="仿宋" w:eastAsia="仿宋" w:cs="宋体"/>
          <w:b/>
          <w:sz w:val="24"/>
          <w:szCs w:val="28"/>
        </w:rPr>
        <w:t>1.设备清单</w:t>
      </w:r>
    </w:p>
    <w:tbl>
      <w:tblPr>
        <w:tblStyle w:val="23"/>
        <w:tblpPr w:leftFromText="180" w:rightFromText="180" w:vertAnchor="text" w:horzAnchor="margin" w:tblpY="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2369"/>
        <w:gridCol w:w="715"/>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序号</w:t>
            </w:r>
          </w:p>
        </w:tc>
        <w:tc>
          <w:tcPr>
            <w:tcW w:w="2369" w:type="dxa"/>
            <w:vAlign w:val="center"/>
          </w:tcPr>
          <w:p>
            <w:pPr>
              <w:pStyle w:val="49"/>
              <w:adjustRightInd w:val="0"/>
              <w:snapToGrid w:val="0"/>
              <w:spacing w:line="360" w:lineRule="auto"/>
              <w:rPr>
                <w:rFonts w:ascii="仿宋" w:hAnsi="仿宋" w:eastAsia="仿宋" w:cs="仿宋"/>
                <w:bCs/>
                <w:kern w:val="0"/>
              </w:rPr>
            </w:pPr>
            <w:r>
              <w:rPr>
                <w:rFonts w:hint="eastAsia" w:ascii="仿宋" w:hAnsi="仿宋" w:eastAsia="仿宋" w:cs="仿宋"/>
                <w:bCs/>
                <w:kern w:val="0"/>
              </w:rPr>
              <w:t>设备名称</w:t>
            </w:r>
          </w:p>
        </w:tc>
        <w:tc>
          <w:tcPr>
            <w:tcW w:w="715" w:type="dxa"/>
            <w:vAlign w:val="center"/>
          </w:tcPr>
          <w:p>
            <w:pPr>
              <w:pStyle w:val="49"/>
              <w:adjustRightInd w:val="0"/>
              <w:snapToGrid w:val="0"/>
              <w:spacing w:line="360" w:lineRule="auto"/>
              <w:ind w:firstLine="0" w:firstLineChars="0"/>
              <w:jc w:val="center"/>
              <w:rPr>
                <w:rFonts w:ascii="仿宋" w:hAnsi="仿宋" w:eastAsia="仿宋" w:cs="仿宋"/>
                <w:bCs/>
                <w:kern w:val="0"/>
              </w:rPr>
            </w:pPr>
            <w:r>
              <w:rPr>
                <w:rFonts w:hint="eastAsia" w:ascii="仿宋" w:hAnsi="仿宋" w:eastAsia="仿宋" w:cs="仿宋"/>
                <w:bCs/>
                <w:kern w:val="0"/>
              </w:rPr>
              <w:t>数量</w:t>
            </w:r>
          </w:p>
        </w:tc>
        <w:tc>
          <w:tcPr>
            <w:tcW w:w="4143" w:type="dxa"/>
            <w:vAlign w:val="center"/>
          </w:tcPr>
          <w:p>
            <w:pPr>
              <w:pStyle w:val="49"/>
              <w:adjustRightInd w:val="0"/>
              <w:snapToGrid w:val="0"/>
              <w:spacing w:line="360" w:lineRule="auto"/>
              <w:jc w:val="center"/>
              <w:rPr>
                <w:rFonts w:ascii="仿宋" w:hAnsi="仿宋" w:eastAsia="仿宋" w:cs="仿宋"/>
                <w:bCs/>
                <w:kern w:val="0"/>
              </w:rPr>
            </w:pPr>
            <w:r>
              <w:rPr>
                <w:rFonts w:hint="eastAsia" w:ascii="仿宋" w:hAnsi="仿宋" w:eastAsia="仿宋" w:cs="仿宋"/>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1</w:t>
            </w:r>
          </w:p>
        </w:tc>
        <w:tc>
          <w:tcPr>
            <w:tcW w:w="2369"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多点控制单元（MCU）</w:t>
            </w:r>
          </w:p>
        </w:tc>
        <w:tc>
          <w:tcPr>
            <w:tcW w:w="715"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1套</w:t>
            </w:r>
          </w:p>
        </w:tc>
        <w:tc>
          <w:tcPr>
            <w:tcW w:w="4143"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支持全市32路终端设备接入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2</w:t>
            </w:r>
          </w:p>
        </w:tc>
        <w:tc>
          <w:tcPr>
            <w:tcW w:w="2369"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会议终端套装</w:t>
            </w:r>
          </w:p>
        </w:tc>
        <w:tc>
          <w:tcPr>
            <w:tcW w:w="715"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1套</w:t>
            </w:r>
          </w:p>
        </w:tc>
        <w:tc>
          <w:tcPr>
            <w:tcW w:w="4143"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超清硬件终端（含摄像机、全向麦克风）</w:t>
            </w:r>
          </w:p>
        </w:tc>
      </w:tr>
    </w:tbl>
    <w:p>
      <w:pPr>
        <w:pStyle w:val="2"/>
        <w:ind w:firstLine="0" w:firstLineChars="0"/>
      </w:pPr>
    </w:p>
    <w:p>
      <w:pPr>
        <w:widowControl/>
        <w:numPr>
          <w:ilvl w:val="255"/>
          <w:numId w:val="0"/>
        </w:numPr>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2.设备技术要求：</w:t>
      </w:r>
    </w:p>
    <w:p>
      <w:pPr>
        <w:widowControl/>
        <w:numPr>
          <w:ilvl w:val="255"/>
          <w:numId w:val="0"/>
        </w:numPr>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2.1多点控制单元MCU</w:t>
      </w:r>
    </w:p>
    <w:p>
      <w:pPr>
        <w:adjustRightInd w:val="0"/>
        <w:snapToGrid w:val="0"/>
        <w:spacing w:line="360" w:lineRule="exact"/>
        <w:ind w:firstLine="420" w:firstLineChars="200"/>
        <w:jc w:val="left"/>
        <w:rPr>
          <w:rFonts w:ascii="仿宋" w:hAnsi="仿宋" w:eastAsia="仿宋" w:cs="仿宋"/>
          <w:highlight w:val="yellow"/>
        </w:rPr>
      </w:pPr>
      <w:r>
        <w:rPr>
          <w:rFonts w:hint="eastAsia" w:ascii="仿宋" w:hAnsi="仿宋" w:eastAsia="仿宋" w:cs="仿宋"/>
        </w:rPr>
        <w:t>1、支持 ITU-T H.323、IETF SIP 通信协议，支持BFCP、H.239辅准协议。</w:t>
      </w:r>
    </w:p>
    <w:p>
      <w:pPr>
        <w:adjustRightInd w:val="0"/>
        <w:snapToGrid w:val="0"/>
        <w:spacing w:line="360" w:lineRule="exact"/>
        <w:ind w:firstLine="420" w:firstLineChars="200"/>
        <w:jc w:val="left"/>
        <w:rPr>
          <w:rFonts w:ascii="仿宋" w:hAnsi="仿宋" w:eastAsia="仿宋" w:cs="仿宋"/>
        </w:rPr>
      </w:pPr>
      <w:r>
        <w:rPr>
          <w:rFonts w:hint="eastAsia" w:ascii="仿宋" w:hAnsi="仿宋" w:eastAsia="仿宋" w:cs="仿宋"/>
        </w:rPr>
        <w:t>2、支持64kbps~8Mbps呼叫带宽。</w:t>
      </w:r>
    </w:p>
    <w:p>
      <w:pPr>
        <w:adjustRightInd w:val="0"/>
        <w:snapToGrid w:val="0"/>
        <w:spacing w:line="360" w:lineRule="exact"/>
        <w:ind w:firstLine="420" w:firstLineChars="200"/>
        <w:jc w:val="left"/>
        <w:rPr>
          <w:rFonts w:ascii="仿宋" w:hAnsi="仿宋" w:eastAsia="仿宋" w:cs="仿宋"/>
        </w:rPr>
      </w:pPr>
      <w:r>
        <w:rPr>
          <w:rFonts w:hint="eastAsia" w:ascii="仿宋" w:hAnsi="仿宋" w:eastAsia="仿宋" w:cs="仿宋"/>
        </w:rPr>
        <w:t>3、设备支持H.265、H.264BP、H.264 HighProfile、H.264 SVC视频编码。主视频支持4K30、1080P60、1080P30、720P60、720P30，并向下兼容4CIF图像格式。</w:t>
      </w:r>
    </w:p>
    <w:p>
      <w:pPr>
        <w:adjustRightInd w:val="0"/>
        <w:snapToGrid w:val="0"/>
        <w:spacing w:line="360" w:lineRule="exact"/>
        <w:ind w:firstLine="420" w:firstLineChars="200"/>
        <w:jc w:val="left"/>
        <w:rPr>
          <w:rFonts w:ascii="仿宋" w:hAnsi="仿宋" w:eastAsia="仿宋" w:cs="仿宋"/>
        </w:rPr>
      </w:pPr>
      <w:r>
        <w:rPr>
          <w:rFonts w:hint="eastAsia" w:ascii="仿宋" w:hAnsi="仿宋" w:eastAsia="仿宋" w:cs="仿宋"/>
        </w:rPr>
        <w:t>4、支持1+1热插拔冗余电源；</w:t>
      </w:r>
    </w:p>
    <w:p>
      <w:pPr>
        <w:adjustRightInd w:val="0"/>
        <w:snapToGrid w:val="0"/>
        <w:spacing w:line="360" w:lineRule="exact"/>
        <w:ind w:firstLine="420" w:firstLineChars="200"/>
        <w:jc w:val="left"/>
        <w:rPr>
          <w:rFonts w:ascii="仿宋" w:hAnsi="仿宋" w:eastAsia="仿宋" w:cs="仿宋"/>
        </w:rPr>
      </w:pPr>
      <w:r>
        <w:rPr>
          <w:rFonts w:hint="eastAsia" w:ascii="仿宋" w:hAnsi="仿宋" w:eastAsia="仿宋" w:cs="仿宋"/>
        </w:rPr>
        <w:t>5、支持电源、芯片、媒体插卡、MCU整机、网口、风扇、硬盘多重备份。电信级器件和加工工艺、稳定可靠，支持7 x 24小时连续正常工作。</w:t>
      </w:r>
    </w:p>
    <w:p>
      <w:pPr>
        <w:adjustRightInd w:val="0"/>
        <w:snapToGrid w:val="0"/>
        <w:spacing w:line="360" w:lineRule="exact"/>
        <w:ind w:firstLine="440" w:firstLineChars="200"/>
        <w:jc w:val="left"/>
        <w:rPr>
          <w:rFonts w:ascii="仿宋" w:hAnsi="仿宋" w:eastAsia="仿宋" w:cs="仿宋"/>
        </w:rPr>
      </w:pPr>
      <w:r>
        <w:rPr>
          <w:rFonts w:hint="eastAsia" w:ascii="仿宋" w:hAnsi="仿宋" w:eastAsia="仿宋" w:cs="仿宋"/>
          <w:color w:val="000000"/>
          <w:kern w:val="0"/>
          <w:sz w:val="22"/>
          <w:lang w:val="zh-CN" w:bidi="zh-CN"/>
        </w:rPr>
        <w:t>★</w:t>
      </w:r>
      <w:r>
        <w:rPr>
          <w:rFonts w:hint="eastAsia" w:ascii="仿宋" w:hAnsi="仿宋" w:eastAsia="仿宋" w:cs="仿宋"/>
        </w:rPr>
        <w:t>6、单机最大可支持200路2M端口接入，本次配置≥30路1080P60端口并发接入。</w:t>
      </w:r>
    </w:p>
    <w:p>
      <w:pPr>
        <w:adjustRightInd w:val="0"/>
        <w:snapToGrid w:val="0"/>
        <w:spacing w:line="360" w:lineRule="exact"/>
        <w:ind w:firstLine="440" w:firstLineChars="200"/>
        <w:jc w:val="left"/>
        <w:rPr>
          <w:rFonts w:hint="eastAsia" w:ascii="仿宋" w:hAnsi="仿宋" w:eastAsia="仿宋" w:cs="仿宋"/>
          <w:lang w:val="en-US" w:eastAsia="zh-CN"/>
        </w:rPr>
      </w:pPr>
      <w:r>
        <w:rPr>
          <w:rFonts w:hint="eastAsia" w:ascii="仿宋" w:hAnsi="仿宋" w:eastAsia="仿宋" w:cs="仿宋"/>
          <w:color w:val="000000"/>
          <w:kern w:val="0"/>
          <w:sz w:val="22"/>
          <w:lang w:val="zh-CN" w:bidi="zh-CN"/>
        </w:rPr>
        <w:t>★</w:t>
      </w:r>
      <w:r>
        <w:rPr>
          <w:rFonts w:hint="eastAsia" w:ascii="仿宋" w:hAnsi="仿宋" w:eastAsia="仿宋" w:cs="仿宋"/>
        </w:rPr>
        <w:t>7、会议管理平台支持独立硬件服务器部署，也可内置于MCU集中部署。会议管理平台支持容器微服务架构，支持将不同功能的业务部署在不同的容器内运行，支持快速扩容，快速部署。</w:t>
      </w:r>
      <w:r>
        <w:rPr>
          <w:rFonts w:hint="eastAsia" w:ascii="仿宋" w:hAnsi="仿宋" w:eastAsia="仿宋" w:cs="仿宋"/>
          <w:lang w:val="en-US" w:eastAsia="zh-CN"/>
        </w:rPr>
        <w:t xml:space="preserve"> </w:t>
      </w:r>
    </w:p>
    <w:p>
      <w:pPr>
        <w:adjustRightInd w:val="0"/>
        <w:snapToGrid w:val="0"/>
        <w:spacing w:line="360" w:lineRule="exact"/>
        <w:ind w:firstLine="440" w:firstLineChars="200"/>
        <w:jc w:val="left"/>
        <w:rPr>
          <w:rFonts w:ascii="仿宋" w:hAnsi="仿宋" w:eastAsia="仿宋" w:cs="仿宋"/>
        </w:rPr>
      </w:pPr>
      <w:r>
        <w:rPr>
          <w:rFonts w:hint="eastAsia" w:ascii="仿宋" w:hAnsi="仿宋" w:eastAsia="仿宋" w:cs="仿宋"/>
          <w:color w:val="000000"/>
          <w:kern w:val="0"/>
          <w:sz w:val="22"/>
          <w:lang w:val="zh-CN" w:bidi="zh-CN"/>
        </w:rPr>
        <w:t>★</w:t>
      </w:r>
      <w:r>
        <w:rPr>
          <w:rFonts w:hint="eastAsia" w:ascii="仿宋" w:hAnsi="仿宋" w:eastAsia="仿宋" w:cs="仿宋"/>
        </w:rPr>
        <w:t>8、支持自动会议多画面，多画面最大支持≥30画面，支持均分和一大多小的分屏模式。</w:t>
      </w:r>
    </w:p>
    <w:p>
      <w:pPr>
        <w:adjustRightInd w:val="0"/>
        <w:snapToGrid w:val="0"/>
        <w:spacing w:line="360" w:lineRule="exact"/>
        <w:ind w:firstLine="440" w:firstLineChars="200"/>
        <w:jc w:val="left"/>
        <w:rPr>
          <w:rFonts w:hint="eastAsia" w:ascii="仿宋" w:hAnsi="仿宋" w:eastAsia="仿宋" w:cs="仿宋"/>
        </w:rPr>
      </w:pPr>
      <w:r>
        <w:rPr>
          <w:rFonts w:hint="eastAsia" w:ascii="仿宋" w:hAnsi="仿宋" w:eastAsia="仿宋" w:cs="仿宋"/>
          <w:color w:val="000000"/>
          <w:kern w:val="0"/>
          <w:sz w:val="22"/>
          <w:lang w:val="zh-CN" w:bidi="zh-CN"/>
        </w:rPr>
        <w:t>★</w:t>
      </w:r>
      <w:r>
        <w:rPr>
          <w:rFonts w:hint="eastAsia" w:ascii="仿宋" w:hAnsi="仿宋" w:eastAsia="仿宋" w:cs="仿宋"/>
        </w:rPr>
        <w:t>9、在IP网络状态不好的情况下，减弱网络质量原因对音频效果的影响，在不低于网络70%丢包时，会议正常进行，不影响语意传达。在不低于网络50%丢包时，不影响会议进行，视频流畅，无卡顿、无花屏现象。</w:t>
      </w:r>
    </w:p>
    <w:p>
      <w:pPr>
        <w:adjustRightInd w:val="0"/>
        <w:snapToGrid w:val="0"/>
        <w:spacing w:line="360" w:lineRule="exact"/>
        <w:ind w:firstLine="420" w:firstLineChars="200"/>
        <w:jc w:val="left"/>
        <w:rPr>
          <w:rFonts w:hint="default" w:ascii="仿宋" w:hAnsi="仿宋" w:eastAsia="仿宋" w:cs="仿宋"/>
          <w:lang w:val="en-US" w:eastAsia="zh-CN"/>
        </w:rPr>
      </w:pPr>
    </w:p>
    <w:p>
      <w:pPr>
        <w:widowControl/>
        <w:spacing w:line="360" w:lineRule="auto"/>
        <w:ind w:firstLine="482" w:firstLineChars="200"/>
        <w:jc w:val="left"/>
        <w:rPr>
          <w:rFonts w:ascii="仿宋" w:hAnsi="仿宋" w:eastAsia="仿宋" w:cs="仿宋"/>
          <w:b/>
          <w:bCs/>
          <w:sz w:val="24"/>
          <w:szCs w:val="28"/>
        </w:rPr>
      </w:pPr>
      <w:r>
        <w:rPr>
          <w:rFonts w:hint="eastAsia" w:ascii="仿宋" w:hAnsi="仿宋" w:eastAsia="仿宋" w:cs="仿宋"/>
          <w:b/>
          <w:bCs/>
          <w:sz w:val="24"/>
          <w:szCs w:val="28"/>
        </w:rPr>
        <w:t>2.2会议终端（需与MCU同品牌）</w:t>
      </w:r>
    </w:p>
    <w:p>
      <w:pPr>
        <w:adjustRightInd w:val="0"/>
        <w:snapToGrid w:val="0"/>
        <w:spacing w:line="360" w:lineRule="exact"/>
        <w:ind w:firstLine="418" w:firstLineChars="190"/>
        <w:jc w:val="left"/>
        <w:rPr>
          <w:rFonts w:ascii="仿宋" w:hAnsi="仿宋" w:eastAsia="仿宋" w:cs="仿宋"/>
          <w:color w:val="000000"/>
          <w:kern w:val="0"/>
          <w:sz w:val="22"/>
          <w:lang w:bidi="zh-CN"/>
        </w:rPr>
      </w:pPr>
      <w:r>
        <w:rPr>
          <w:rFonts w:hint="eastAsia" w:ascii="仿宋" w:hAnsi="仿宋" w:eastAsia="仿宋" w:cs="仿宋"/>
          <w:color w:val="000000"/>
          <w:kern w:val="0"/>
          <w:sz w:val="22"/>
          <w:lang w:bidi="zh-CN"/>
        </w:rPr>
        <w:t>1</w:t>
      </w:r>
      <w:r>
        <w:rPr>
          <w:rFonts w:hint="eastAsia" w:ascii="仿宋" w:hAnsi="仿宋" w:eastAsia="仿宋" w:cs="仿宋"/>
          <w:color w:val="000000"/>
          <w:kern w:val="0"/>
          <w:sz w:val="22"/>
          <w:lang w:val="zh-CN" w:bidi="zh-CN"/>
        </w:rPr>
        <w:t>、支持</w:t>
      </w:r>
      <w:r>
        <w:rPr>
          <w:rFonts w:hint="eastAsia" w:ascii="仿宋" w:hAnsi="仿宋" w:eastAsia="仿宋" w:cs="仿宋"/>
          <w:color w:val="000000"/>
          <w:kern w:val="0"/>
          <w:sz w:val="22"/>
          <w:lang w:bidi="zh-CN"/>
        </w:rPr>
        <w:t>ITU-T H.323，IETF SIP</w:t>
      </w:r>
      <w:r>
        <w:rPr>
          <w:rFonts w:hint="eastAsia" w:ascii="仿宋" w:hAnsi="仿宋" w:eastAsia="仿宋" w:cs="仿宋"/>
          <w:color w:val="000000"/>
          <w:kern w:val="0"/>
          <w:sz w:val="22"/>
          <w:lang w:val="zh-CN" w:bidi="zh-CN"/>
        </w:rPr>
        <w:t>通信标准协议。</w:t>
      </w:r>
    </w:p>
    <w:p>
      <w:pPr>
        <w:adjustRightInd w:val="0"/>
        <w:snapToGrid w:val="0"/>
        <w:spacing w:line="360" w:lineRule="exact"/>
        <w:ind w:firstLine="418" w:firstLineChars="190"/>
        <w:jc w:val="left"/>
        <w:rPr>
          <w:rFonts w:ascii="仿宋" w:hAnsi="仿宋" w:eastAsia="仿宋" w:cs="仿宋"/>
          <w:color w:val="000000"/>
          <w:kern w:val="0"/>
          <w:sz w:val="22"/>
          <w:lang w:bidi="zh-CN"/>
        </w:rPr>
      </w:pPr>
      <w:r>
        <w:rPr>
          <w:rFonts w:hint="eastAsia" w:ascii="仿宋" w:hAnsi="仿宋" w:eastAsia="仿宋" w:cs="仿宋"/>
          <w:color w:val="000000"/>
          <w:kern w:val="0"/>
          <w:sz w:val="22"/>
          <w:lang w:bidi="zh-CN"/>
        </w:rPr>
        <w:t>2</w:t>
      </w:r>
      <w:r>
        <w:rPr>
          <w:rFonts w:hint="eastAsia" w:ascii="仿宋" w:hAnsi="仿宋" w:eastAsia="仿宋" w:cs="仿宋"/>
          <w:color w:val="000000"/>
          <w:kern w:val="0"/>
          <w:sz w:val="22"/>
          <w:lang w:val="zh-CN" w:bidi="zh-CN"/>
        </w:rPr>
        <w:t>、支持</w:t>
      </w:r>
      <w:r>
        <w:rPr>
          <w:rFonts w:hint="eastAsia" w:ascii="仿宋" w:hAnsi="仿宋" w:eastAsia="仿宋" w:cs="仿宋"/>
          <w:color w:val="000000"/>
          <w:kern w:val="0"/>
          <w:sz w:val="22"/>
          <w:lang w:bidi="zh-CN"/>
        </w:rPr>
        <w:t>H.265，H.264，H.264HP(High Profile)，H.264SVC，H.263，H.261</w:t>
      </w:r>
      <w:r>
        <w:rPr>
          <w:rFonts w:hint="eastAsia" w:ascii="仿宋" w:hAnsi="仿宋" w:eastAsia="仿宋" w:cs="仿宋"/>
          <w:color w:val="000000"/>
          <w:kern w:val="0"/>
          <w:sz w:val="22"/>
          <w:lang w:val="zh-CN" w:bidi="zh-CN"/>
        </w:rPr>
        <w:t>编解码。</w:t>
      </w:r>
    </w:p>
    <w:p>
      <w:pPr>
        <w:adjustRightInd w:val="0"/>
        <w:snapToGrid w:val="0"/>
        <w:spacing w:line="360" w:lineRule="exact"/>
        <w:ind w:firstLine="418" w:firstLineChars="190"/>
        <w:jc w:val="left"/>
        <w:rPr>
          <w:rFonts w:ascii="仿宋" w:hAnsi="仿宋" w:eastAsia="仿宋" w:cs="仿宋"/>
          <w:color w:val="000000"/>
          <w:kern w:val="0"/>
          <w:sz w:val="22"/>
          <w:lang w:bidi="zh-CN"/>
        </w:rPr>
      </w:pPr>
      <w:r>
        <w:rPr>
          <w:rFonts w:hint="eastAsia" w:ascii="仿宋" w:hAnsi="仿宋" w:eastAsia="仿宋" w:cs="仿宋"/>
          <w:color w:val="000000"/>
          <w:kern w:val="0"/>
          <w:sz w:val="22"/>
          <w:lang w:bidi="zh-CN"/>
        </w:rPr>
        <w:t>3</w:t>
      </w:r>
      <w:r>
        <w:rPr>
          <w:rFonts w:hint="eastAsia" w:ascii="仿宋" w:hAnsi="仿宋" w:eastAsia="仿宋" w:cs="仿宋"/>
          <w:color w:val="000000"/>
          <w:kern w:val="0"/>
          <w:sz w:val="22"/>
          <w:lang w:val="zh-CN" w:bidi="zh-CN"/>
        </w:rPr>
        <w:t>、支持</w:t>
      </w:r>
      <w:r>
        <w:rPr>
          <w:rFonts w:hint="eastAsia" w:ascii="仿宋" w:hAnsi="仿宋" w:eastAsia="仿宋" w:cs="仿宋"/>
          <w:color w:val="000000"/>
          <w:kern w:val="0"/>
          <w:sz w:val="22"/>
          <w:lang w:bidi="zh-CN"/>
        </w:rPr>
        <w:t>G.722，G.711A，G.711µ，G.722.1，G.722.1C，G.719，AAC_LD/LC，AAC_LD/LC(Stereo)，G.729，G.728，OPUS</w:t>
      </w:r>
      <w:r>
        <w:rPr>
          <w:rFonts w:hint="eastAsia" w:ascii="仿宋" w:hAnsi="仿宋" w:eastAsia="仿宋" w:cs="仿宋"/>
          <w:color w:val="000000"/>
          <w:kern w:val="0"/>
          <w:sz w:val="22"/>
          <w:lang w:val="zh-CN" w:bidi="zh-CN"/>
        </w:rPr>
        <w:t>等音频协议</w:t>
      </w:r>
      <w:r>
        <w:rPr>
          <w:rFonts w:hint="eastAsia" w:ascii="仿宋" w:hAnsi="仿宋" w:eastAsia="仿宋" w:cs="仿宋"/>
          <w:color w:val="000000"/>
          <w:kern w:val="0"/>
          <w:sz w:val="22"/>
          <w:lang w:bidi="zh-CN"/>
        </w:rPr>
        <w:t>，</w:t>
      </w:r>
      <w:r>
        <w:rPr>
          <w:rFonts w:hint="eastAsia" w:ascii="仿宋" w:hAnsi="仿宋" w:eastAsia="仿宋" w:cs="仿宋"/>
          <w:color w:val="000000"/>
          <w:kern w:val="0"/>
          <w:sz w:val="22"/>
          <w:lang w:val="zh-CN" w:bidi="zh-CN"/>
        </w:rPr>
        <w:t>支持双声道立体声</w:t>
      </w:r>
      <w:r>
        <w:rPr>
          <w:rFonts w:hint="eastAsia" w:ascii="仿宋" w:hAnsi="仿宋" w:eastAsia="仿宋" w:cs="仿宋"/>
          <w:color w:val="000000"/>
          <w:kern w:val="0"/>
          <w:sz w:val="22"/>
          <w:lang w:bidi="zh-CN"/>
        </w:rPr>
        <w:t>，</w:t>
      </w:r>
      <w:r>
        <w:rPr>
          <w:rFonts w:hint="eastAsia" w:ascii="仿宋" w:hAnsi="仿宋" w:eastAsia="仿宋" w:cs="仿宋"/>
          <w:color w:val="000000"/>
          <w:kern w:val="0"/>
          <w:sz w:val="22"/>
          <w:lang w:val="zh-CN" w:bidi="zh-CN"/>
        </w:rPr>
        <w:t>可达到</w:t>
      </w:r>
      <w:r>
        <w:rPr>
          <w:rFonts w:hint="eastAsia" w:ascii="仿宋" w:hAnsi="仿宋" w:eastAsia="仿宋" w:cs="仿宋"/>
          <w:color w:val="000000"/>
          <w:kern w:val="0"/>
          <w:sz w:val="22"/>
          <w:lang w:bidi="zh-CN"/>
        </w:rPr>
        <w:t>20KHz</w:t>
      </w:r>
      <w:r>
        <w:rPr>
          <w:rFonts w:hint="eastAsia" w:ascii="仿宋" w:hAnsi="仿宋" w:eastAsia="仿宋" w:cs="仿宋"/>
          <w:color w:val="000000"/>
          <w:kern w:val="0"/>
          <w:sz w:val="22"/>
          <w:lang w:val="zh-CN" w:bidi="zh-CN"/>
        </w:rPr>
        <w:t>以上的宽频效果。</w:t>
      </w:r>
    </w:p>
    <w:p>
      <w:pPr>
        <w:adjustRightInd w:val="0"/>
        <w:snapToGrid w:val="0"/>
        <w:spacing w:line="360" w:lineRule="exact"/>
        <w:ind w:firstLine="418" w:firstLineChars="190"/>
        <w:jc w:val="left"/>
        <w:rPr>
          <w:rFonts w:ascii="仿宋" w:hAnsi="仿宋" w:eastAsia="仿宋" w:cs="仿宋"/>
          <w:color w:val="000000"/>
          <w:kern w:val="0"/>
          <w:sz w:val="22"/>
          <w:lang w:bidi="zh-CN"/>
        </w:rPr>
      </w:pPr>
      <w:r>
        <w:rPr>
          <w:rFonts w:hint="eastAsia" w:ascii="仿宋" w:hAnsi="仿宋" w:eastAsia="仿宋" w:cs="仿宋"/>
          <w:color w:val="000000"/>
          <w:kern w:val="0"/>
          <w:sz w:val="22"/>
          <w:lang w:bidi="zh-CN"/>
        </w:rPr>
        <w:t>★4</w:t>
      </w:r>
      <w:r>
        <w:rPr>
          <w:rFonts w:hint="eastAsia" w:ascii="仿宋" w:hAnsi="仿宋" w:eastAsia="仿宋" w:cs="仿宋"/>
          <w:color w:val="000000"/>
          <w:kern w:val="0"/>
          <w:sz w:val="22"/>
          <w:lang w:val="zh-CN" w:bidi="zh-CN"/>
        </w:rPr>
        <w:t>、设备支持</w:t>
      </w:r>
      <w:r>
        <w:rPr>
          <w:rFonts w:hint="eastAsia" w:ascii="仿宋" w:hAnsi="仿宋" w:eastAsia="仿宋" w:cs="仿宋"/>
          <w:color w:val="000000"/>
          <w:kern w:val="0"/>
          <w:sz w:val="22"/>
          <w:lang w:bidi="zh-CN"/>
        </w:rPr>
        <w:t>4K（3840×2160）30fps</w:t>
      </w:r>
      <w:r>
        <w:rPr>
          <w:rFonts w:hint="eastAsia" w:ascii="仿宋" w:hAnsi="仿宋" w:eastAsia="仿宋" w:cs="仿宋"/>
          <w:color w:val="000000"/>
          <w:kern w:val="0"/>
          <w:sz w:val="22"/>
          <w:lang w:val="zh-CN" w:bidi="zh-CN"/>
        </w:rPr>
        <w:t>、</w:t>
      </w:r>
      <w:r>
        <w:rPr>
          <w:rFonts w:hint="eastAsia" w:ascii="仿宋" w:hAnsi="仿宋" w:eastAsia="仿宋" w:cs="仿宋"/>
          <w:color w:val="000000"/>
          <w:kern w:val="0"/>
          <w:sz w:val="22"/>
          <w:lang w:bidi="zh-CN"/>
        </w:rPr>
        <w:t>1080P60fps</w:t>
      </w:r>
      <w:r>
        <w:rPr>
          <w:rFonts w:hint="eastAsia" w:ascii="仿宋" w:hAnsi="仿宋" w:eastAsia="仿宋" w:cs="仿宋"/>
          <w:color w:val="000000"/>
          <w:kern w:val="0"/>
          <w:sz w:val="22"/>
          <w:lang w:val="zh-CN" w:bidi="zh-CN"/>
        </w:rPr>
        <w:t>、</w:t>
      </w:r>
      <w:r>
        <w:rPr>
          <w:rFonts w:hint="eastAsia" w:ascii="仿宋" w:hAnsi="仿宋" w:eastAsia="仿宋" w:cs="仿宋"/>
          <w:color w:val="000000"/>
          <w:kern w:val="0"/>
          <w:sz w:val="22"/>
          <w:lang w:bidi="zh-CN"/>
        </w:rPr>
        <w:t>1080P30fps</w:t>
      </w:r>
      <w:r>
        <w:rPr>
          <w:rFonts w:hint="eastAsia" w:ascii="仿宋" w:hAnsi="仿宋" w:eastAsia="仿宋" w:cs="仿宋"/>
          <w:color w:val="000000"/>
          <w:kern w:val="0"/>
          <w:sz w:val="22"/>
          <w:lang w:val="zh-CN" w:bidi="zh-CN"/>
        </w:rPr>
        <w:t>、</w:t>
      </w:r>
      <w:r>
        <w:rPr>
          <w:rFonts w:hint="eastAsia" w:ascii="仿宋" w:hAnsi="仿宋" w:eastAsia="仿宋" w:cs="仿宋"/>
          <w:color w:val="000000"/>
          <w:kern w:val="0"/>
          <w:sz w:val="22"/>
          <w:lang w:bidi="zh-CN"/>
        </w:rPr>
        <w:t>720P60fps</w:t>
      </w:r>
      <w:r>
        <w:rPr>
          <w:rFonts w:hint="eastAsia" w:ascii="仿宋" w:hAnsi="仿宋" w:eastAsia="仿宋" w:cs="仿宋"/>
          <w:color w:val="000000"/>
          <w:kern w:val="0"/>
          <w:sz w:val="22"/>
          <w:lang w:val="zh-CN" w:bidi="zh-CN"/>
        </w:rPr>
        <w:t>、</w:t>
      </w:r>
      <w:r>
        <w:rPr>
          <w:rFonts w:hint="eastAsia" w:ascii="仿宋" w:hAnsi="仿宋" w:eastAsia="仿宋" w:cs="仿宋"/>
          <w:color w:val="000000"/>
          <w:kern w:val="0"/>
          <w:sz w:val="22"/>
          <w:lang w:bidi="zh-CN"/>
        </w:rPr>
        <w:t>720P30fps</w:t>
      </w:r>
      <w:r>
        <w:rPr>
          <w:rFonts w:hint="eastAsia" w:ascii="仿宋" w:hAnsi="仿宋" w:eastAsia="仿宋" w:cs="仿宋"/>
          <w:color w:val="000000"/>
          <w:kern w:val="0"/>
          <w:sz w:val="22"/>
          <w:lang w:val="zh-CN" w:bidi="zh-CN"/>
        </w:rPr>
        <w:t>、</w:t>
      </w:r>
      <w:r>
        <w:rPr>
          <w:rFonts w:hint="eastAsia" w:ascii="仿宋" w:hAnsi="仿宋" w:eastAsia="仿宋" w:cs="仿宋"/>
          <w:color w:val="000000"/>
          <w:kern w:val="0"/>
          <w:sz w:val="22"/>
          <w:lang w:bidi="zh-CN"/>
        </w:rPr>
        <w:t>4CIF30fps</w:t>
      </w:r>
      <w:r>
        <w:rPr>
          <w:rFonts w:hint="eastAsia" w:ascii="仿宋" w:hAnsi="仿宋" w:eastAsia="仿宋" w:cs="仿宋"/>
          <w:color w:val="000000"/>
          <w:kern w:val="0"/>
          <w:sz w:val="22"/>
          <w:lang w:val="zh-CN" w:bidi="zh-CN"/>
        </w:rPr>
        <w:t>、</w:t>
      </w:r>
      <w:r>
        <w:rPr>
          <w:rFonts w:hint="eastAsia" w:ascii="仿宋" w:hAnsi="仿宋" w:eastAsia="仿宋" w:cs="仿宋"/>
          <w:color w:val="000000"/>
          <w:kern w:val="0"/>
          <w:sz w:val="22"/>
          <w:lang w:bidi="zh-CN"/>
        </w:rPr>
        <w:t>CIF30fps</w:t>
      </w:r>
      <w:r>
        <w:rPr>
          <w:rFonts w:hint="eastAsia" w:ascii="仿宋" w:hAnsi="仿宋" w:eastAsia="仿宋" w:cs="仿宋"/>
          <w:color w:val="000000"/>
          <w:kern w:val="0"/>
          <w:sz w:val="22"/>
          <w:lang w:val="zh-CN" w:bidi="zh-CN"/>
        </w:rPr>
        <w:t>图像格式。</w:t>
      </w:r>
    </w:p>
    <w:p>
      <w:pPr>
        <w:adjustRightInd w:val="0"/>
        <w:snapToGrid w:val="0"/>
        <w:spacing w:line="360" w:lineRule="exact"/>
        <w:ind w:firstLine="418" w:firstLineChars="190"/>
        <w:jc w:val="left"/>
        <w:rPr>
          <w:rFonts w:ascii="仿宋" w:hAnsi="仿宋" w:eastAsia="仿宋" w:cs="仿宋"/>
          <w:color w:val="000000"/>
          <w:kern w:val="0"/>
          <w:sz w:val="22"/>
          <w:lang w:val="zh-CN" w:bidi="zh-CN"/>
        </w:rPr>
      </w:pPr>
      <w:r>
        <w:rPr>
          <w:rFonts w:hint="eastAsia" w:ascii="仿宋" w:hAnsi="仿宋" w:eastAsia="仿宋" w:cs="仿宋"/>
          <w:color w:val="000000"/>
          <w:kern w:val="0"/>
          <w:sz w:val="22"/>
          <w:lang w:val="zh-CN" w:bidi="zh-CN"/>
        </w:rPr>
        <w:t>★</w:t>
      </w:r>
      <w:r>
        <w:rPr>
          <w:rFonts w:hint="eastAsia" w:ascii="仿宋" w:hAnsi="仿宋" w:eastAsia="仿宋" w:cs="仿宋"/>
          <w:color w:val="000000"/>
          <w:kern w:val="0"/>
          <w:sz w:val="22"/>
          <w:lang w:bidi="zh-CN"/>
        </w:rPr>
        <w:t>5</w:t>
      </w:r>
      <w:r>
        <w:rPr>
          <w:rFonts w:hint="eastAsia" w:ascii="仿宋" w:hAnsi="仿宋" w:eastAsia="仿宋" w:cs="仿宋"/>
          <w:color w:val="000000"/>
          <w:kern w:val="0"/>
          <w:sz w:val="22"/>
          <w:lang w:val="zh-CN" w:bidi="zh-CN"/>
        </w:rPr>
        <w:t>、≥4视频输出接口；≥4视频输入接口。</w:t>
      </w:r>
    </w:p>
    <w:p>
      <w:pPr>
        <w:adjustRightInd w:val="0"/>
        <w:snapToGrid w:val="0"/>
        <w:spacing w:line="360" w:lineRule="exact"/>
        <w:ind w:firstLine="418" w:firstLineChars="190"/>
        <w:jc w:val="left"/>
        <w:rPr>
          <w:rFonts w:ascii="仿宋" w:hAnsi="仿宋" w:eastAsia="仿宋" w:cs="仿宋"/>
          <w:color w:val="000000"/>
          <w:kern w:val="0"/>
          <w:sz w:val="22"/>
          <w:lang w:val="zh-CN" w:bidi="zh-CN"/>
        </w:rPr>
      </w:pPr>
      <w:r>
        <w:rPr>
          <w:rFonts w:hint="eastAsia" w:ascii="仿宋" w:hAnsi="仿宋" w:eastAsia="仿宋" w:cs="仿宋"/>
          <w:color w:val="000000"/>
          <w:kern w:val="0"/>
          <w:sz w:val="22"/>
          <w:lang w:val="zh-CN" w:bidi="zh-CN"/>
        </w:rPr>
        <w:t>★</w:t>
      </w:r>
      <w:r>
        <w:rPr>
          <w:rFonts w:hint="eastAsia" w:ascii="仿宋" w:hAnsi="仿宋" w:eastAsia="仿宋" w:cs="仿宋"/>
          <w:color w:val="000000"/>
          <w:kern w:val="0"/>
          <w:sz w:val="22"/>
          <w:lang w:bidi="zh-CN"/>
        </w:rPr>
        <w:t>6、</w:t>
      </w:r>
      <w:r>
        <w:rPr>
          <w:rFonts w:hint="eastAsia" w:ascii="仿宋" w:hAnsi="仿宋" w:eastAsia="仿宋" w:cs="仿宋"/>
          <w:color w:val="000000"/>
          <w:kern w:val="0"/>
          <w:sz w:val="22"/>
          <w:lang w:val="zh-CN" w:bidi="zh-CN"/>
        </w:rPr>
        <w:t>支持多视功能。支持将两路视频源合并为一路视频发送到远端会场。</w:t>
      </w:r>
    </w:p>
    <w:p>
      <w:pPr>
        <w:widowControl/>
        <w:spacing w:line="360" w:lineRule="auto"/>
        <w:ind w:firstLine="482" w:firstLineChars="200"/>
        <w:jc w:val="left"/>
        <w:rPr>
          <w:rFonts w:ascii="仿宋" w:hAnsi="仿宋" w:eastAsia="仿宋" w:cs="仿宋"/>
          <w:b/>
          <w:bCs/>
          <w:sz w:val="24"/>
          <w:szCs w:val="28"/>
        </w:rPr>
      </w:pPr>
      <w:r>
        <w:rPr>
          <w:rFonts w:hint="eastAsia" w:ascii="仿宋" w:hAnsi="仿宋" w:eastAsia="仿宋" w:cs="仿宋"/>
          <w:b/>
          <w:bCs/>
          <w:sz w:val="24"/>
          <w:szCs w:val="28"/>
        </w:rPr>
        <w:t>2.3 4K会议摄像机</w:t>
      </w:r>
    </w:p>
    <w:p>
      <w:pPr>
        <w:adjustRightInd w:val="0"/>
        <w:snapToGrid w:val="0"/>
        <w:spacing w:line="360" w:lineRule="exact"/>
        <w:ind w:firstLine="418" w:firstLineChars="190"/>
        <w:jc w:val="left"/>
        <w:rPr>
          <w:rFonts w:hint="eastAsia" w:ascii="仿宋" w:hAnsi="仿宋" w:eastAsia="仿宋" w:cs="仿宋"/>
          <w:color w:val="000000"/>
          <w:kern w:val="0"/>
          <w:sz w:val="22"/>
          <w:lang w:bidi="zh-CN"/>
        </w:rPr>
      </w:pPr>
      <w:r>
        <w:rPr>
          <w:rFonts w:hint="eastAsia" w:ascii="仿宋" w:hAnsi="仿宋" w:eastAsia="仿宋" w:cs="仿宋"/>
          <w:color w:val="000000"/>
          <w:kern w:val="0"/>
          <w:sz w:val="22"/>
          <w:lang w:bidi="zh-CN"/>
        </w:rPr>
        <w:t>1、</w:t>
      </w:r>
      <w:r>
        <w:rPr>
          <w:rFonts w:hint="eastAsia" w:ascii="仿宋" w:hAnsi="仿宋" w:eastAsia="仿宋" w:cs="仿宋"/>
          <w:color w:val="000000"/>
          <w:kern w:val="0"/>
          <w:sz w:val="22"/>
          <w:lang w:val="zh-CN" w:bidi="zh-CN"/>
        </w:rPr>
        <w:t>图像传感器 采用1/2.5英寸,8</w:t>
      </w:r>
      <w:r>
        <w:rPr>
          <w:rFonts w:hint="eastAsia" w:ascii="仿宋" w:hAnsi="仿宋" w:eastAsia="仿宋" w:cs="仿宋"/>
          <w:color w:val="000000"/>
          <w:kern w:val="0"/>
          <w:sz w:val="22"/>
          <w:lang w:bidi="zh-CN"/>
        </w:rPr>
        <w:t>00</w:t>
      </w:r>
      <w:r>
        <w:rPr>
          <w:rFonts w:hint="eastAsia" w:ascii="仿宋" w:hAnsi="仿宋" w:eastAsia="仿宋" w:cs="仿宋"/>
          <w:color w:val="000000"/>
          <w:kern w:val="0"/>
          <w:sz w:val="22"/>
          <w:lang w:val="zh-CN" w:bidi="zh-CN"/>
        </w:rPr>
        <w:t>万像素的高品质HD CMOS传感器，水平分辨率最高可达4K，支持最大12倍光学变焦</w:t>
      </w:r>
      <w:r>
        <w:rPr>
          <w:rFonts w:hint="eastAsia" w:ascii="仿宋" w:hAnsi="仿宋" w:eastAsia="仿宋" w:cs="仿宋"/>
          <w:color w:val="000000"/>
          <w:kern w:val="0"/>
          <w:sz w:val="22"/>
          <w:lang w:bidi="zh-CN"/>
        </w:rPr>
        <w:t>。</w:t>
      </w:r>
    </w:p>
    <w:p>
      <w:pPr>
        <w:adjustRightInd w:val="0"/>
        <w:snapToGrid w:val="0"/>
        <w:spacing w:line="360" w:lineRule="exact"/>
        <w:ind w:firstLine="418" w:firstLineChars="190"/>
        <w:jc w:val="left"/>
        <w:rPr>
          <w:rFonts w:ascii="仿宋" w:hAnsi="仿宋" w:eastAsia="仿宋" w:cs="仿宋"/>
          <w:color w:val="000000"/>
          <w:kern w:val="0"/>
          <w:sz w:val="22"/>
          <w:lang w:val="zh-CN" w:bidi="zh-CN"/>
        </w:rPr>
      </w:pPr>
      <w:r>
        <w:rPr>
          <w:rFonts w:hint="eastAsia" w:ascii="仿宋" w:hAnsi="仿宋" w:eastAsia="仿宋" w:cs="仿宋"/>
          <w:color w:val="000000"/>
          <w:kern w:val="0"/>
          <w:sz w:val="22"/>
          <w:lang w:bidi="zh-CN"/>
        </w:rPr>
        <w:t>2、</w:t>
      </w:r>
      <w:r>
        <w:rPr>
          <w:rFonts w:hint="eastAsia" w:ascii="仿宋" w:hAnsi="仿宋" w:eastAsia="仿宋" w:cs="仿宋"/>
          <w:color w:val="000000"/>
          <w:kern w:val="0"/>
          <w:sz w:val="22"/>
          <w:lang w:val="zh-CN" w:bidi="zh-CN"/>
        </w:rPr>
        <w:t>支持多达255个预置位（遥控器设置调用为10个）。</w:t>
      </w:r>
    </w:p>
    <w:p>
      <w:pPr>
        <w:adjustRightInd w:val="0"/>
        <w:snapToGrid w:val="0"/>
        <w:spacing w:line="360" w:lineRule="exact"/>
        <w:ind w:firstLine="418" w:firstLineChars="190"/>
        <w:jc w:val="left"/>
        <w:rPr>
          <w:rFonts w:ascii="仿宋" w:hAnsi="仿宋" w:eastAsia="仿宋" w:cs="仿宋"/>
        </w:rPr>
      </w:pPr>
      <w:r>
        <w:rPr>
          <w:rFonts w:hint="eastAsia" w:ascii="仿宋" w:hAnsi="仿宋" w:eastAsia="仿宋" w:cs="仿宋"/>
          <w:color w:val="000000"/>
          <w:kern w:val="0"/>
          <w:sz w:val="22"/>
          <w:lang w:bidi="zh-CN"/>
        </w:rPr>
        <w:t>3、</w:t>
      </w:r>
      <w:r>
        <w:rPr>
          <w:rFonts w:hint="eastAsia" w:ascii="仿宋" w:hAnsi="仿宋" w:eastAsia="仿宋" w:cs="仿宋"/>
          <w:color w:val="000000"/>
          <w:kern w:val="0"/>
          <w:sz w:val="22"/>
          <w:lang w:val="zh-CN" w:bidi="zh-CN"/>
        </w:rPr>
        <w:t>支持VISCA、PELCO-D、PELCO-P协议，支持自动识别协议。支持网络全命令VISCA控制协议，可对摄像机的所有设定以及平移/俯仰/缩放操作进行远程高速通讯控制。</w:t>
      </w:r>
    </w:p>
    <w:p>
      <w:pPr>
        <w:widowControl/>
        <w:spacing w:line="360" w:lineRule="auto"/>
        <w:ind w:firstLine="482" w:firstLineChars="200"/>
        <w:jc w:val="left"/>
        <w:rPr>
          <w:rFonts w:ascii="仿宋" w:hAnsi="仿宋" w:eastAsia="仿宋" w:cs="仿宋"/>
          <w:b/>
          <w:bCs/>
          <w:sz w:val="24"/>
          <w:szCs w:val="28"/>
        </w:rPr>
      </w:pPr>
      <w:r>
        <w:rPr>
          <w:rFonts w:hint="eastAsia" w:ascii="仿宋" w:hAnsi="仿宋" w:eastAsia="仿宋" w:cs="仿宋"/>
          <w:b/>
          <w:bCs/>
          <w:sz w:val="24"/>
          <w:szCs w:val="28"/>
        </w:rPr>
        <w:t>2.4 全向麦克风</w:t>
      </w:r>
    </w:p>
    <w:p>
      <w:pPr>
        <w:adjustRightInd w:val="0"/>
        <w:snapToGrid w:val="0"/>
        <w:spacing w:line="360" w:lineRule="exact"/>
        <w:ind w:firstLine="418" w:firstLineChars="190"/>
        <w:jc w:val="left"/>
        <w:rPr>
          <w:rFonts w:ascii="仿宋" w:hAnsi="仿宋" w:eastAsia="仿宋" w:cs="仿宋"/>
          <w:color w:val="000000"/>
          <w:kern w:val="0"/>
          <w:sz w:val="22"/>
          <w:lang w:bidi="zh-CN"/>
        </w:rPr>
      </w:pPr>
      <w:r>
        <w:rPr>
          <w:rFonts w:hint="eastAsia" w:ascii="仿宋" w:hAnsi="仿宋" w:eastAsia="仿宋" w:cs="仿宋"/>
          <w:color w:val="000000"/>
          <w:kern w:val="0"/>
          <w:sz w:val="22"/>
          <w:lang w:bidi="zh-CN"/>
        </w:rPr>
        <w:t>1、支持8K/16K/32K/48K的采样率，360度全向拾音范围，拾音半径至少6米。</w:t>
      </w:r>
    </w:p>
    <w:p>
      <w:pPr>
        <w:widowControl/>
        <w:spacing w:line="360" w:lineRule="auto"/>
        <w:ind w:firstLine="482" w:firstLineChars="200"/>
        <w:jc w:val="left"/>
        <w:rPr>
          <w:rFonts w:hint="eastAsia" w:ascii="仿宋" w:hAnsi="仿宋" w:eastAsia="仿宋" w:cs="宋体"/>
          <w:b/>
          <w:bCs/>
          <w:sz w:val="24"/>
          <w:szCs w:val="28"/>
        </w:rPr>
      </w:pPr>
    </w:p>
    <w:p>
      <w:pPr>
        <w:widowControl/>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三、项目实施保密要求（商务要求）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（1）成交供应商加强内部保密和信息安全管理，因中标人造成的数据泄密、网络与信息安全问题，由中标人承担所有责任。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项目实施过程中获得的项目相关信息承担保密责任，对项目实施过程中涉及的敏感信息严格遵循《中华人民共和国保守国家秘密法》相关要求进行保护，因中标人造成泄密、网络与信息安全问题的，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信息进行严格保密，未经授权不得泄露给任何单位和个人，不得利用此数据、信息进行任何侵害本项目涉及和相关的任何信息系统的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项目成员与采购人的保密协议草拟本。中标后，中标人参与本项目的人员，必须与采购人签订保密协议，约束项目成员的保密义务，并严格控制本项目的信息扩散范围只在该小组成员为了完成监理服务工作所必需知道的最少信息范围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（5）中标人在本项目中所获取的相关信息和产生的报告，必须提供给采购人指定人员，不得随意扩散。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pPr>
        <w:widowControl/>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四、付款条件（商务要求）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付款方式：硬件设备部署调试完毕，验收合格后，</w:t>
      </w:r>
      <w:r>
        <w:rPr>
          <w:rFonts w:hint="eastAsia" w:ascii="仿宋" w:hAnsi="仿宋" w:eastAsia="仿宋" w:cs="宋体"/>
          <w:sz w:val="24"/>
          <w:szCs w:val="28"/>
          <w:lang w:val="en-US" w:eastAsia="zh-CN"/>
        </w:rPr>
        <w:t>60</w:t>
      </w:r>
      <w:r>
        <w:rPr>
          <w:rFonts w:hint="eastAsia" w:ascii="仿宋" w:hAnsi="仿宋" w:eastAsia="仿宋" w:cs="宋体"/>
          <w:sz w:val="24"/>
          <w:szCs w:val="28"/>
        </w:rPr>
        <w:t>日内甲方向乙方支付合同总额的100%。</w:t>
      </w:r>
    </w:p>
    <w:p>
      <w:pPr>
        <w:widowControl/>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五、履约验收方案</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宋体"/>
          <w:sz w:val="24"/>
          <w:szCs w:val="24"/>
        </w:rPr>
        <w:t>1</w:t>
      </w:r>
      <w:r>
        <w:rPr>
          <w:rFonts w:hint="eastAsia" w:ascii="仿宋" w:hAnsi="仿宋" w:eastAsia="仿宋" w:cs="仿宋"/>
          <w:sz w:val="24"/>
          <w:szCs w:val="24"/>
        </w:rPr>
        <w:t>、验收内容（包括每项技术和商务要求）：</w:t>
      </w:r>
    </w:p>
    <w:tbl>
      <w:tblPr>
        <w:tblStyle w:val="23"/>
        <w:tblpPr w:leftFromText="180" w:rightFromText="180" w:vertAnchor="text" w:horzAnchor="margin" w:tblpY="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2369"/>
        <w:gridCol w:w="715"/>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序号</w:t>
            </w:r>
          </w:p>
        </w:tc>
        <w:tc>
          <w:tcPr>
            <w:tcW w:w="2369" w:type="dxa"/>
            <w:vAlign w:val="center"/>
          </w:tcPr>
          <w:p>
            <w:pPr>
              <w:pStyle w:val="49"/>
              <w:adjustRightInd w:val="0"/>
              <w:snapToGrid w:val="0"/>
              <w:spacing w:line="360" w:lineRule="auto"/>
              <w:rPr>
                <w:rFonts w:ascii="仿宋" w:hAnsi="仿宋" w:eastAsia="仿宋" w:cs="仿宋"/>
                <w:bCs/>
                <w:kern w:val="0"/>
              </w:rPr>
            </w:pPr>
            <w:r>
              <w:rPr>
                <w:rFonts w:hint="eastAsia" w:ascii="仿宋" w:hAnsi="仿宋" w:eastAsia="仿宋" w:cs="仿宋"/>
                <w:bCs/>
                <w:kern w:val="0"/>
              </w:rPr>
              <w:t>设备名称</w:t>
            </w:r>
          </w:p>
        </w:tc>
        <w:tc>
          <w:tcPr>
            <w:tcW w:w="715" w:type="dxa"/>
            <w:vAlign w:val="center"/>
          </w:tcPr>
          <w:p>
            <w:pPr>
              <w:pStyle w:val="49"/>
              <w:adjustRightInd w:val="0"/>
              <w:snapToGrid w:val="0"/>
              <w:spacing w:line="360" w:lineRule="auto"/>
              <w:ind w:firstLine="0" w:firstLineChars="0"/>
              <w:jc w:val="center"/>
              <w:rPr>
                <w:rFonts w:ascii="仿宋" w:hAnsi="仿宋" w:eastAsia="仿宋" w:cs="仿宋"/>
                <w:bCs/>
                <w:kern w:val="0"/>
              </w:rPr>
            </w:pPr>
            <w:r>
              <w:rPr>
                <w:rFonts w:hint="eastAsia" w:ascii="仿宋" w:hAnsi="仿宋" w:eastAsia="仿宋" w:cs="仿宋"/>
                <w:bCs/>
                <w:kern w:val="0"/>
              </w:rPr>
              <w:t>数量</w:t>
            </w:r>
          </w:p>
        </w:tc>
        <w:tc>
          <w:tcPr>
            <w:tcW w:w="4143" w:type="dxa"/>
            <w:vAlign w:val="center"/>
          </w:tcPr>
          <w:p>
            <w:pPr>
              <w:pStyle w:val="49"/>
              <w:adjustRightInd w:val="0"/>
              <w:snapToGrid w:val="0"/>
              <w:spacing w:line="360" w:lineRule="auto"/>
              <w:jc w:val="center"/>
              <w:rPr>
                <w:rFonts w:ascii="仿宋" w:hAnsi="仿宋" w:eastAsia="仿宋" w:cs="仿宋"/>
                <w:bCs/>
                <w:kern w:val="0"/>
              </w:rPr>
            </w:pPr>
            <w:r>
              <w:rPr>
                <w:rFonts w:hint="eastAsia" w:ascii="仿宋" w:hAnsi="仿宋" w:eastAsia="仿宋" w:cs="仿宋"/>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1</w:t>
            </w:r>
          </w:p>
        </w:tc>
        <w:tc>
          <w:tcPr>
            <w:tcW w:w="2369"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多点控制单元（MCU）</w:t>
            </w:r>
          </w:p>
        </w:tc>
        <w:tc>
          <w:tcPr>
            <w:tcW w:w="715"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1套</w:t>
            </w:r>
          </w:p>
        </w:tc>
        <w:tc>
          <w:tcPr>
            <w:tcW w:w="4143"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支持全市32路终端设备接入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2</w:t>
            </w:r>
          </w:p>
        </w:tc>
        <w:tc>
          <w:tcPr>
            <w:tcW w:w="2369"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会议终端套装</w:t>
            </w:r>
          </w:p>
        </w:tc>
        <w:tc>
          <w:tcPr>
            <w:tcW w:w="715"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1套</w:t>
            </w:r>
          </w:p>
        </w:tc>
        <w:tc>
          <w:tcPr>
            <w:tcW w:w="4143" w:type="dxa"/>
            <w:vAlign w:val="center"/>
          </w:tcPr>
          <w:p>
            <w:pPr>
              <w:pStyle w:val="49"/>
              <w:adjustRightInd w:val="0"/>
              <w:snapToGrid w:val="0"/>
              <w:spacing w:line="360" w:lineRule="auto"/>
              <w:ind w:firstLine="0" w:firstLineChars="0"/>
              <w:rPr>
                <w:rFonts w:ascii="仿宋" w:hAnsi="仿宋" w:eastAsia="仿宋" w:cs="仿宋"/>
                <w:bCs/>
                <w:kern w:val="0"/>
              </w:rPr>
            </w:pPr>
            <w:r>
              <w:rPr>
                <w:rFonts w:hint="eastAsia" w:ascii="仿宋" w:hAnsi="仿宋" w:eastAsia="仿宋" w:cs="仿宋"/>
                <w:bCs/>
                <w:kern w:val="0"/>
              </w:rPr>
              <w:t>超清硬件终端（含摄像机、全向麦克风）</w:t>
            </w:r>
          </w:p>
        </w:tc>
      </w:tr>
    </w:tbl>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2、验收标准（包括所有客观、量化指标）：</w:t>
      </w:r>
    </w:p>
    <w:p>
      <w:pPr>
        <w:widowControl/>
        <w:topLinePunct/>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1）MCU配置</w:t>
      </w:r>
      <w:r>
        <w:rPr>
          <w:rFonts w:hint="eastAsia" w:ascii="仿宋" w:hAnsi="仿宋" w:eastAsia="仿宋" w:cs="仿宋"/>
          <w:bCs/>
          <w:kern w:val="0"/>
          <w:sz w:val="24"/>
          <w:szCs w:val="24"/>
        </w:rPr>
        <w:t>≥32路终端参会（1080P60fps），</w:t>
      </w:r>
      <w:r>
        <w:rPr>
          <w:rFonts w:hint="eastAsia" w:ascii="仿宋" w:hAnsi="仿宋" w:eastAsia="仿宋" w:cs="仿宋"/>
          <w:bCs/>
          <w:sz w:val="24"/>
          <w:szCs w:val="24"/>
        </w:rPr>
        <w:t>能够实现市级设备与省、区县视频会议设备兼容与互通，支持MCU终端接入平滑扩容；</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2）在 IP 网络状态不好的情况下，减弱网络质量原因对音频效果的影响，最大支持网络70%丢包时不影响会议进行；在 IP 网络状态不好的情况下，减弱网络质量原因对视音频效果的影响，最大支持网络 40%丢包时不影响会议进行，视频流畅，无卡顿、无花屏现象等。</w:t>
      </w:r>
    </w:p>
    <w:p>
      <w:pPr>
        <w:pStyle w:val="2"/>
        <w:ind w:firstLine="420"/>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28"/>
        <w:ind w:firstLine="420"/>
        <w:rPr>
          <w:lang w:val="en-US"/>
        </w:rPr>
      </w:pPr>
    </w:p>
    <w:p>
      <w:pPr>
        <w:pStyle w:val="28"/>
        <w:ind w:firstLine="420"/>
        <w:rPr>
          <w:lang w:val="en-US"/>
        </w:rPr>
      </w:pPr>
    </w:p>
    <w:p>
      <w:pPr>
        <w:pStyle w:val="28"/>
        <w:ind w:firstLine="420"/>
        <w:rPr>
          <w:lang w:val="en-US"/>
        </w:rPr>
      </w:pPr>
    </w:p>
    <w:p>
      <w:pPr>
        <w:pStyle w:val="28"/>
        <w:ind w:firstLine="420"/>
        <w:rPr>
          <w:lang w:val="en-US"/>
        </w:rPr>
      </w:pPr>
    </w:p>
    <w:p>
      <w:pPr>
        <w:pStyle w:val="28"/>
        <w:ind w:firstLine="420"/>
        <w:rPr>
          <w:lang w:val="en-US"/>
        </w:rPr>
      </w:pPr>
    </w:p>
    <w:p>
      <w:pPr>
        <w:pStyle w:val="28"/>
        <w:ind w:firstLine="420"/>
        <w:rPr>
          <w:lang w:val="en-US"/>
        </w:rPr>
      </w:pPr>
    </w:p>
    <w:p>
      <w:pPr>
        <w:pStyle w:val="28"/>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pStyle w:val="2"/>
        <w:ind w:firstLine="560"/>
        <w:rPr>
          <w:rFonts w:ascii="黑体" w:hAnsi="宋体" w:eastAsia="黑体" w:cs="黑体"/>
          <w:color w:val="000000"/>
          <w:kern w:val="0"/>
          <w:sz w:val="28"/>
          <w:szCs w:val="28"/>
        </w:rPr>
      </w:pPr>
    </w:p>
    <w:p>
      <w:pPr>
        <w:rPr>
          <w:rFonts w:ascii="黑体" w:hAnsi="宋体" w:eastAsia="黑体" w:cs="黑体"/>
          <w:color w:val="000000"/>
          <w:kern w:val="0"/>
          <w:sz w:val="28"/>
          <w:szCs w:val="28"/>
        </w:rPr>
      </w:pPr>
    </w:p>
    <w:p>
      <w:pPr>
        <w:pStyle w:val="2"/>
        <w:ind w:firstLine="560"/>
        <w:rPr>
          <w:rFonts w:ascii="黑体" w:hAnsi="宋体" w:eastAsia="黑体" w:cs="黑体"/>
          <w:color w:val="000000"/>
          <w:kern w:val="0"/>
          <w:sz w:val="28"/>
          <w:szCs w:val="28"/>
        </w:rPr>
      </w:pPr>
    </w:p>
    <w:p>
      <w:pPr>
        <w:rPr>
          <w:rFonts w:ascii="黑体" w:hAnsi="宋体" w:eastAsia="黑体" w:cs="黑体"/>
          <w:color w:val="000000"/>
          <w:kern w:val="0"/>
          <w:sz w:val="28"/>
          <w:szCs w:val="28"/>
        </w:rPr>
      </w:pPr>
    </w:p>
    <w:p>
      <w:pPr>
        <w:pStyle w:val="2"/>
        <w:ind w:firstLine="560"/>
        <w:rPr>
          <w:rFonts w:ascii="黑体" w:hAnsi="宋体" w:eastAsia="黑体" w:cs="黑体"/>
          <w:color w:val="000000"/>
          <w:kern w:val="0"/>
          <w:sz w:val="28"/>
          <w:szCs w:val="28"/>
        </w:rPr>
      </w:pPr>
    </w:p>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lang w:val="en-US"/>
        </w:rPr>
      </w:pPr>
      <w:r>
        <w:rPr>
          <w:rFonts w:hint="eastAsia" w:ascii="黑体" w:hAnsi="宋体" w:eastAsia="黑体" w:cs="黑体"/>
          <w:color w:val="000000"/>
          <w:kern w:val="0"/>
          <w:sz w:val="28"/>
          <w:szCs w:val="28"/>
        </w:rPr>
        <w:t xml:space="preserve">（注：供应商根据附件顺序编制投标文件并制作目录（须生成页码）） </w:t>
      </w: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bCs/>
          <w:snapToGrid w:val="0"/>
          <w:kern w:val="0"/>
        </w:rPr>
        <w:t>法定代表人或法定代表人授权代表</w:t>
      </w:r>
      <w:r>
        <w:rPr>
          <w:rFonts w:hint="eastAsia" w:ascii="宋体" w:hAnsi="宋体"/>
          <w:kern w:val="0"/>
        </w:rPr>
        <w:t>（签字）：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cs="宋体"/>
          <w:b/>
          <w:color w:val="000000"/>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tabs>
          <w:tab w:val="left" w:pos="1280"/>
        </w:tabs>
        <w:autoSpaceDE w:val="0"/>
        <w:autoSpaceDN w:val="0"/>
        <w:adjustRightInd w:val="0"/>
        <w:snapToGrid w:val="0"/>
        <w:spacing w:line="360" w:lineRule="auto"/>
        <w:rPr>
          <w:rFonts w:ascii="宋体" w:hAnsi="宋体" w:cs="等线 Light"/>
          <w:bCs/>
          <w:snapToGrid w:val="0"/>
          <w:kern w:val="0"/>
          <w:lang w:val="zh-CN"/>
        </w:rPr>
      </w:pPr>
      <w:r>
        <w:rPr>
          <w:rFonts w:hint="eastAsia" w:ascii="宋体" w:hAnsi="宋体" w:cs="等线 Light"/>
          <w:bCs/>
          <w:snapToGrid w:val="0"/>
          <w:kern w:val="0"/>
          <w:lang w:val="zh-CN"/>
        </w:rPr>
        <w:t>注:供应商法定代表人参加采购的,必须附法定代表人身份证复印件并加盖委托单位公章,参加采购时法定代表人将身份证原件带至现场备查。法定代表人授权其他人参加采购的,需填写“授权委托书”。</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附件三、分项报价表格式</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lang w:val="en-US" w:eastAsia="zh-CN"/>
        </w:rPr>
        <w:t>参考</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rPr>
        <w:t xml:space="preserve"> </w:t>
      </w:r>
    </w:p>
    <w:tbl>
      <w:tblPr>
        <w:tblStyle w:val="23"/>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271"/>
        <w:gridCol w:w="1613"/>
        <w:gridCol w:w="1326"/>
        <w:gridCol w:w="1003"/>
        <w:gridCol w:w="855"/>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r>
              <w:rPr>
                <w:rFonts w:hint="eastAsia" w:ascii="仿宋" w:hAnsi="仿宋" w:eastAsia="仿宋" w:cs="仿宋"/>
                <w:snapToGrid w:val="0"/>
                <w:kern w:val="0"/>
                <w:lang w:val="zh-CN"/>
              </w:rPr>
              <w:t>序号</w:t>
            </w: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r>
              <w:rPr>
                <w:rFonts w:hint="eastAsia" w:ascii="仿宋" w:hAnsi="仿宋" w:eastAsia="仿宋" w:cs="仿宋"/>
                <w:snapToGrid w:val="0"/>
                <w:kern w:val="0"/>
                <w:lang w:val="zh-CN"/>
              </w:rPr>
              <w:t>货物名称及商标名</w:t>
            </w: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r>
              <w:rPr>
                <w:rFonts w:hint="eastAsia" w:ascii="仿宋" w:hAnsi="仿宋" w:eastAsia="仿宋" w:cs="仿宋"/>
                <w:snapToGrid w:val="0"/>
                <w:kern w:val="0"/>
                <w:lang w:val="zh-CN"/>
              </w:rPr>
              <w:t>原产地及生产厂名</w:t>
            </w:r>
          </w:p>
        </w:tc>
        <w:tc>
          <w:tcPr>
            <w:tcW w:w="1326" w:type="dxa"/>
            <w:vAlign w:val="center"/>
          </w:tcPr>
          <w:p>
            <w:pPr>
              <w:widowControl/>
              <w:adjustRightInd w:val="0"/>
              <w:snapToGrid w:val="0"/>
              <w:jc w:val="left"/>
              <w:rPr>
                <w:rFonts w:ascii="仿宋" w:hAnsi="仿宋" w:eastAsia="仿宋" w:cs="仿宋"/>
                <w:snapToGrid w:val="0"/>
                <w:kern w:val="0"/>
                <w:lang w:val="zh-CN"/>
              </w:rPr>
            </w:pPr>
            <w:r>
              <w:rPr>
                <w:rFonts w:hint="eastAsia" w:ascii="仿宋" w:hAnsi="仿宋" w:eastAsia="仿宋" w:cs="仿宋"/>
                <w:snapToGrid w:val="0"/>
                <w:kern w:val="0"/>
                <w:lang w:val="zh-CN"/>
              </w:rPr>
              <w:t>规格型号</w:t>
            </w:r>
          </w:p>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r>
              <w:rPr>
                <w:rFonts w:hint="eastAsia" w:ascii="仿宋" w:hAnsi="仿宋" w:eastAsia="仿宋" w:cs="仿宋"/>
                <w:snapToGrid w:val="0"/>
                <w:kern w:val="0"/>
                <w:lang w:val="zh-CN"/>
              </w:rPr>
              <w:t>单价（含税、元）</w:t>
            </w: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r>
              <w:rPr>
                <w:rFonts w:hint="eastAsia" w:ascii="仿宋" w:hAnsi="仿宋" w:eastAsia="仿宋" w:cs="仿宋"/>
                <w:snapToGrid w:val="0"/>
                <w:kern w:val="0"/>
                <w:lang w:val="zh-CN"/>
              </w:rPr>
              <w:t>数量</w:t>
            </w: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r>
              <w:rPr>
                <w:rFonts w:hint="eastAsia" w:ascii="仿宋" w:hAnsi="仿宋" w:eastAsia="仿宋" w:cs="仿宋"/>
                <w:snapToGrid w:val="0"/>
                <w:kern w:val="0"/>
                <w:lang w:val="zh-CN"/>
              </w:rPr>
              <w:t>总价（</w:t>
            </w:r>
            <w:r>
              <w:rPr>
                <w:rFonts w:hint="eastAsia" w:ascii="仿宋" w:hAnsi="仿宋" w:eastAsia="仿宋" w:cs="仿宋"/>
                <w:snapToGrid w:val="0"/>
                <w:kern w:val="0"/>
                <w:lang w:val="en-US" w:eastAsia="zh-CN"/>
              </w:rPr>
              <w:t>包括税费、</w:t>
            </w:r>
            <w:r>
              <w:rPr>
                <w:rFonts w:hint="eastAsia" w:ascii="仿宋" w:hAnsi="仿宋" w:eastAsia="仿宋" w:cs="仿宋"/>
                <w:snapToGrid w:val="0"/>
                <w:kern w:val="0"/>
                <w:lang w:val="zh-CN"/>
              </w:rPr>
              <w:t>内陆运输及保险费等元）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7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271"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61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32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003"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855"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c>
          <w:tcPr>
            <w:tcW w:w="1836" w:type="dxa"/>
            <w:vAlign w:val="center"/>
          </w:tcPr>
          <w:p>
            <w:pPr>
              <w:tabs>
                <w:tab w:val="left" w:pos="1280"/>
              </w:tabs>
              <w:autoSpaceDE w:val="0"/>
              <w:autoSpaceDN w:val="0"/>
              <w:adjustRightInd w:val="0"/>
              <w:snapToGrid w:val="0"/>
              <w:rPr>
                <w:rFonts w:ascii="仿宋" w:hAnsi="仿宋" w:eastAsia="仿宋" w:cs="仿宋"/>
                <w:snapToGrid w:val="0"/>
                <w:kern w:val="0"/>
                <w:lang w:val="zh-CN"/>
              </w:rPr>
            </w:pPr>
          </w:p>
        </w:tc>
      </w:tr>
    </w:tbl>
    <w:p>
      <w:pPr>
        <w:widowControl/>
        <w:jc w:val="left"/>
        <w:rPr>
          <w:rFonts w:ascii="仿宋" w:hAnsi="仿宋" w:eastAsia="仿宋" w:cs="仿宋"/>
        </w:rPr>
      </w:pPr>
    </w:p>
    <w:p>
      <w:pPr>
        <w:tabs>
          <w:tab w:val="left" w:pos="1280"/>
        </w:tabs>
        <w:autoSpaceDE w:val="0"/>
        <w:autoSpaceDN w:val="0"/>
        <w:adjustRightInd w:val="0"/>
        <w:snapToGrid w:val="0"/>
        <w:spacing w:line="360" w:lineRule="auto"/>
        <w:rPr>
          <w:rFonts w:ascii="仿宋" w:hAnsi="仿宋" w:eastAsia="仿宋" w:cs="仿宋"/>
          <w:snapToGrid w:val="0"/>
          <w:kern w:val="0"/>
          <w:lang w:val="zh-CN"/>
        </w:rPr>
      </w:pPr>
      <w:r>
        <w:rPr>
          <w:rFonts w:hint="eastAsia" w:ascii="仿宋" w:hAnsi="仿宋" w:eastAsia="仿宋" w:cs="仿宋"/>
          <w:snapToGrid w:val="0"/>
          <w:kern w:val="0"/>
          <w:lang w:val="zh-CN"/>
        </w:rPr>
        <w:t xml:space="preserve">供应商：     （加盖公章）     </w:t>
      </w:r>
    </w:p>
    <w:p>
      <w:pPr>
        <w:tabs>
          <w:tab w:val="left" w:pos="1280"/>
        </w:tabs>
        <w:autoSpaceDE w:val="0"/>
        <w:autoSpaceDN w:val="0"/>
        <w:adjustRightInd w:val="0"/>
        <w:snapToGrid w:val="0"/>
        <w:spacing w:line="360" w:lineRule="auto"/>
        <w:rPr>
          <w:rFonts w:ascii="仿宋" w:hAnsi="仿宋" w:eastAsia="仿宋" w:cs="仿宋"/>
          <w:snapToGrid w:val="0"/>
          <w:kern w:val="0"/>
          <w:lang w:val="zh-CN"/>
        </w:rPr>
      </w:pPr>
      <w:r>
        <w:rPr>
          <w:rFonts w:hint="eastAsia" w:ascii="仿宋" w:hAnsi="仿宋" w:eastAsia="仿宋" w:cs="仿宋"/>
          <w:snapToGrid w:val="0"/>
          <w:kern w:val="0"/>
          <w:lang w:val="zh-CN"/>
        </w:rPr>
        <w:t xml:space="preserve">法定代表人或其授权代表：  （签字或盖章）             </w:t>
      </w:r>
    </w:p>
    <w:p>
      <w:pPr>
        <w:tabs>
          <w:tab w:val="left" w:pos="1280"/>
        </w:tabs>
        <w:autoSpaceDE w:val="0"/>
        <w:autoSpaceDN w:val="0"/>
        <w:adjustRightInd w:val="0"/>
        <w:snapToGrid w:val="0"/>
        <w:spacing w:line="360" w:lineRule="auto"/>
        <w:rPr>
          <w:rFonts w:ascii="仿宋" w:hAnsi="仿宋" w:eastAsia="仿宋" w:cs="仿宋"/>
          <w:snapToGrid w:val="0"/>
          <w:kern w:val="0"/>
          <w:lang w:val="zh-CN"/>
        </w:rPr>
      </w:pPr>
      <w:r>
        <w:rPr>
          <w:rFonts w:hint="eastAsia" w:ascii="仿宋" w:hAnsi="仿宋" w:eastAsia="仿宋" w:cs="仿宋"/>
          <w:snapToGrid w:val="0"/>
          <w:kern w:val="0"/>
          <w:lang w:val="zh-CN"/>
        </w:rPr>
        <w:t>日期：</w:t>
      </w:r>
    </w:p>
    <w:p>
      <w:pPr>
        <w:tabs>
          <w:tab w:val="left" w:pos="1280"/>
        </w:tabs>
        <w:autoSpaceDE w:val="0"/>
        <w:autoSpaceDN w:val="0"/>
        <w:adjustRightInd w:val="0"/>
        <w:snapToGrid w:val="0"/>
        <w:spacing w:line="360" w:lineRule="auto"/>
        <w:rPr>
          <w:rFonts w:ascii="仿宋" w:hAnsi="仿宋" w:eastAsia="仿宋" w:cs="仿宋"/>
          <w:snapToGrid w:val="0"/>
          <w:kern w:val="0"/>
          <w:lang w:val="zh-CN"/>
        </w:rPr>
      </w:pPr>
      <w:r>
        <w:rPr>
          <w:rFonts w:hint="eastAsia" w:ascii="仿宋" w:hAnsi="仿宋" w:eastAsia="仿宋" w:cs="仿宋"/>
          <w:snapToGrid w:val="0"/>
          <w:kern w:val="0"/>
          <w:lang w:val="zh-CN"/>
        </w:rPr>
        <w:t>注：</w:t>
      </w:r>
    </w:p>
    <w:p>
      <w:pPr>
        <w:tabs>
          <w:tab w:val="left" w:pos="1280"/>
        </w:tabs>
        <w:autoSpaceDE w:val="0"/>
        <w:autoSpaceDN w:val="0"/>
        <w:adjustRightInd w:val="0"/>
        <w:snapToGrid w:val="0"/>
        <w:spacing w:line="360" w:lineRule="auto"/>
        <w:rPr>
          <w:rFonts w:ascii="仿宋" w:hAnsi="仿宋" w:eastAsia="仿宋" w:cs="仿宋"/>
          <w:snapToGrid w:val="0"/>
          <w:kern w:val="0"/>
          <w:lang w:val="zh-CN"/>
        </w:rPr>
      </w:pPr>
      <w:r>
        <w:rPr>
          <w:rFonts w:hint="eastAsia" w:ascii="仿宋" w:hAnsi="仿宋" w:eastAsia="仿宋" w:cs="仿宋"/>
          <w:snapToGrid w:val="0"/>
          <w:kern w:val="0"/>
          <w:lang w:val="zh-CN"/>
        </w:rPr>
        <w:t>1、所有价格系有人民币表示。</w:t>
      </w:r>
    </w:p>
    <w:p>
      <w:pPr>
        <w:tabs>
          <w:tab w:val="left" w:pos="1280"/>
        </w:tabs>
        <w:autoSpaceDE w:val="0"/>
        <w:autoSpaceDN w:val="0"/>
        <w:adjustRightInd w:val="0"/>
        <w:snapToGrid w:val="0"/>
        <w:spacing w:line="360" w:lineRule="auto"/>
        <w:rPr>
          <w:rFonts w:ascii="仿宋" w:hAnsi="仿宋" w:eastAsia="仿宋" w:cs="仿宋"/>
          <w:snapToGrid w:val="0"/>
          <w:kern w:val="0"/>
          <w:lang w:val="zh-CN"/>
        </w:rPr>
      </w:pPr>
      <w:r>
        <w:rPr>
          <w:rFonts w:hint="eastAsia" w:ascii="仿宋" w:hAnsi="仿宋" w:eastAsia="仿宋" w:cs="仿宋"/>
          <w:snapToGrid w:val="0"/>
          <w:kern w:val="0"/>
          <w:lang w:val="zh-CN"/>
        </w:rPr>
        <w:t>2、单价应包括全部安装、调试、培训、技术服务、必不可少的部件、标准备件、专用工具等费用。</w:t>
      </w:r>
    </w:p>
    <w:p>
      <w:pPr>
        <w:tabs>
          <w:tab w:val="left" w:pos="1280"/>
        </w:tabs>
        <w:autoSpaceDE w:val="0"/>
        <w:autoSpaceDN w:val="0"/>
        <w:adjustRightInd w:val="0"/>
        <w:snapToGrid w:val="0"/>
        <w:spacing w:line="360" w:lineRule="auto"/>
        <w:rPr>
          <w:rFonts w:ascii="仿宋" w:hAnsi="仿宋" w:eastAsia="仿宋" w:cs="仿宋"/>
          <w:snapToGrid w:val="0"/>
          <w:kern w:val="0"/>
          <w:lang w:val="zh-CN"/>
        </w:rPr>
      </w:pPr>
      <w:r>
        <w:rPr>
          <w:rFonts w:hint="eastAsia" w:ascii="仿宋" w:hAnsi="仿宋" w:eastAsia="仿宋" w:cs="仿宋"/>
          <w:snapToGrid w:val="0"/>
          <w:kern w:val="0"/>
          <w:lang w:val="zh-CN"/>
        </w:rPr>
        <w:t>3、供应商必须提供包含本次采购项下所有货物的详细分项报价表，否则将导致响应无效。</w:t>
      </w:r>
    </w:p>
    <w:p>
      <w:pPr>
        <w:widowControl/>
        <w:jc w:val="left"/>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adjustRightInd w:val="0"/>
        <w:snapToGrid w:val="0"/>
        <w:spacing w:line="360" w:lineRule="auto"/>
        <w:rPr>
          <w:rFonts w:ascii="宋体" w:hAnsi="宋体" w:cs="楷体_GB2312"/>
          <w:snapToGrid w:val="0"/>
          <w:kern w:val="0"/>
          <w:lang w:val="zh-CN"/>
        </w:rPr>
      </w:pPr>
      <w:r>
        <w:rPr>
          <w:rFonts w:hint="eastAsia" w:ascii="宋体" w:hAnsi="宋体" w:cs="楷体_GB2312"/>
          <w:snapToGrid w:val="0"/>
          <w:kern w:val="0"/>
          <w:lang w:val="zh-CN"/>
        </w:rPr>
        <w:t>项目名称：</w:t>
      </w:r>
    </w:p>
    <w:tbl>
      <w:tblPr>
        <w:tblStyle w:val="23"/>
        <w:tblW w:w="872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93"/>
        <w:gridCol w:w="2551"/>
        <w:gridCol w:w="28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76" w:type="dxa"/>
            <w:tcBorders>
              <w:top w:val="single" w:color="auto" w:sz="12" w:space="0"/>
              <w:left w:val="single" w:color="auto" w:sz="12" w:space="0"/>
              <w:bottom w:val="single" w:color="auto" w:sz="4" w:space="0"/>
              <w:right w:val="single" w:color="auto" w:sz="4" w:space="0"/>
            </w:tcBorders>
          </w:tcPr>
          <w:p>
            <w:pPr>
              <w:spacing w:before="240" w:after="240" w:line="400" w:lineRule="exact"/>
              <w:jc w:val="center"/>
              <w:rPr>
                <w:rFonts w:ascii="宋体" w:hAnsi="宋体"/>
                <w:snapToGrid w:val="0"/>
                <w:kern w:val="0"/>
              </w:rPr>
            </w:pPr>
            <w:r>
              <w:rPr>
                <w:rFonts w:hint="eastAsia" w:ascii="宋体" w:hAnsi="宋体"/>
                <w:snapToGrid w:val="0"/>
                <w:kern w:val="0"/>
              </w:rPr>
              <w:t>序号</w:t>
            </w:r>
          </w:p>
        </w:tc>
        <w:tc>
          <w:tcPr>
            <w:tcW w:w="2393" w:type="dxa"/>
            <w:tcBorders>
              <w:top w:val="single" w:color="auto" w:sz="12" w:space="0"/>
              <w:left w:val="single" w:color="auto" w:sz="4" w:space="0"/>
              <w:bottom w:val="single" w:color="auto" w:sz="4" w:space="0"/>
              <w:right w:val="single" w:color="auto" w:sz="4" w:space="0"/>
            </w:tcBorders>
          </w:tcPr>
          <w:p>
            <w:pPr>
              <w:spacing w:before="240" w:after="240" w:line="400" w:lineRule="exact"/>
              <w:jc w:val="center"/>
              <w:rPr>
                <w:rFonts w:ascii="宋体" w:hAnsi="宋体"/>
                <w:snapToGrid w:val="0"/>
                <w:kern w:val="0"/>
              </w:rPr>
            </w:pPr>
            <w:r>
              <w:rPr>
                <w:rFonts w:hint="eastAsia" w:ascii="宋体" w:hAnsi="宋体"/>
                <w:snapToGrid w:val="0"/>
                <w:kern w:val="0"/>
              </w:rPr>
              <w:t>采购文件商务条款</w:t>
            </w:r>
          </w:p>
        </w:tc>
        <w:tc>
          <w:tcPr>
            <w:tcW w:w="2551" w:type="dxa"/>
            <w:tcBorders>
              <w:top w:val="single" w:color="auto" w:sz="12" w:space="0"/>
              <w:left w:val="single" w:color="auto" w:sz="4" w:space="0"/>
              <w:bottom w:val="single" w:color="auto" w:sz="4" w:space="0"/>
              <w:right w:val="single" w:color="auto" w:sz="4" w:space="0"/>
            </w:tcBorders>
          </w:tcPr>
          <w:p>
            <w:pPr>
              <w:spacing w:before="240" w:after="240" w:line="400" w:lineRule="exact"/>
              <w:jc w:val="center"/>
              <w:rPr>
                <w:rFonts w:ascii="宋体" w:hAnsi="宋体"/>
                <w:snapToGrid w:val="0"/>
                <w:kern w:val="0"/>
              </w:rPr>
            </w:pPr>
            <w:r>
              <w:rPr>
                <w:rFonts w:hint="eastAsia" w:ascii="宋体" w:hAnsi="宋体"/>
                <w:snapToGrid w:val="0"/>
                <w:kern w:val="0"/>
              </w:rPr>
              <w:t>商务响应</w:t>
            </w:r>
          </w:p>
        </w:tc>
        <w:tc>
          <w:tcPr>
            <w:tcW w:w="2803" w:type="dxa"/>
            <w:tcBorders>
              <w:top w:val="single" w:color="auto" w:sz="12" w:space="0"/>
              <w:left w:val="single" w:color="auto" w:sz="4" w:space="0"/>
              <w:bottom w:val="single" w:color="auto" w:sz="4" w:space="0"/>
              <w:right w:val="single" w:color="auto" w:sz="12" w:space="0"/>
            </w:tcBorders>
          </w:tcPr>
          <w:p>
            <w:pPr>
              <w:spacing w:before="240" w:after="240" w:line="400" w:lineRule="exact"/>
              <w:jc w:val="center"/>
              <w:rPr>
                <w:rFonts w:ascii="宋体" w:hAnsi="宋体"/>
                <w:snapToGrid w:val="0"/>
                <w:kern w:val="0"/>
              </w:rPr>
            </w:pPr>
            <w:r>
              <w:rPr>
                <w:rFonts w:hint="eastAsia" w:ascii="宋体" w:hAnsi="宋体"/>
                <w:snapToGrid w:val="0"/>
                <w:kern w:val="0"/>
              </w:rPr>
              <w:t>具体说明（响应/偏离）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76" w:type="dxa"/>
            <w:tcBorders>
              <w:top w:val="single" w:color="auto" w:sz="4" w:space="0"/>
              <w:left w:val="single" w:color="auto" w:sz="12" w:space="0"/>
              <w:bottom w:val="single" w:color="auto" w:sz="4" w:space="0"/>
              <w:right w:val="single" w:color="auto" w:sz="4" w:space="0"/>
            </w:tcBorders>
          </w:tcPr>
          <w:p>
            <w:pPr>
              <w:spacing w:before="240" w:after="240" w:line="400" w:lineRule="exact"/>
              <w:jc w:val="center"/>
              <w:rPr>
                <w:rFonts w:ascii="宋体" w:hAnsi="宋体"/>
                <w:snapToGrid w:val="0"/>
                <w:kern w:val="0"/>
              </w:rPr>
            </w:pPr>
            <w:r>
              <w:rPr>
                <w:rFonts w:hint="eastAsia" w:ascii="宋体" w:hAnsi="宋体"/>
                <w:snapToGrid w:val="0"/>
                <w:kern w:val="0"/>
              </w:rPr>
              <w:t>1</w:t>
            </w:r>
          </w:p>
        </w:tc>
        <w:tc>
          <w:tcPr>
            <w:tcW w:w="2393" w:type="dxa"/>
            <w:tcBorders>
              <w:top w:val="single" w:color="auto" w:sz="4" w:space="0"/>
              <w:left w:val="single" w:color="auto" w:sz="4" w:space="0"/>
              <w:bottom w:val="single" w:color="auto" w:sz="4" w:space="0"/>
              <w:right w:val="single" w:color="auto" w:sz="4" w:space="0"/>
            </w:tcBorders>
          </w:tcPr>
          <w:p>
            <w:pPr>
              <w:pStyle w:val="12"/>
              <w:adjustRightInd w:val="0"/>
              <w:snapToGrid w:val="0"/>
              <w:spacing w:line="360" w:lineRule="auto"/>
              <w:rPr>
                <w:rFonts w:hAnsi="宋体"/>
                <w:snapToGrid w:val="0"/>
                <w:kern w:val="0"/>
              </w:rPr>
            </w:pPr>
          </w:p>
        </w:tc>
        <w:tc>
          <w:tcPr>
            <w:tcW w:w="2551"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803" w:type="dxa"/>
            <w:tcBorders>
              <w:top w:val="single" w:color="auto" w:sz="4" w:space="0"/>
              <w:left w:val="single" w:color="auto" w:sz="4" w:space="0"/>
              <w:bottom w:val="single" w:color="auto" w:sz="4" w:space="0"/>
              <w:right w:val="single" w:color="auto" w:sz="12" w:space="0"/>
            </w:tcBorders>
          </w:tcPr>
          <w:p>
            <w:pPr>
              <w:spacing w:before="240" w:after="240" w:line="400" w:lineRule="exact"/>
              <w:rPr>
                <w:rFonts w:ascii="宋体" w:hAnsi="宋体"/>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76" w:type="dxa"/>
            <w:tcBorders>
              <w:top w:val="single" w:color="auto" w:sz="4" w:space="0"/>
              <w:left w:val="single" w:color="auto" w:sz="12" w:space="0"/>
              <w:bottom w:val="single" w:color="auto" w:sz="4" w:space="0"/>
              <w:right w:val="single" w:color="auto" w:sz="4" w:space="0"/>
            </w:tcBorders>
          </w:tcPr>
          <w:p>
            <w:pPr>
              <w:spacing w:before="240" w:after="240" w:line="400" w:lineRule="exact"/>
              <w:jc w:val="center"/>
              <w:rPr>
                <w:rFonts w:ascii="宋体" w:hAnsi="宋体"/>
                <w:snapToGrid w:val="0"/>
                <w:kern w:val="0"/>
              </w:rPr>
            </w:pPr>
            <w:r>
              <w:rPr>
                <w:rFonts w:hint="eastAsia" w:ascii="宋体" w:hAnsi="宋体"/>
                <w:snapToGrid w:val="0"/>
                <w:kern w:val="0"/>
              </w:rPr>
              <w:t>2</w:t>
            </w:r>
          </w:p>
        </w:tc>
        <w:tc>
          <w:tcPr>
            <w:tcW w:w="2393"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551"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803" w:type="dxa"/>
            <w:tcBorders>
              <w:top w:val="single" w:color="auto" w:sz="4" w:space="0"/>
              <w:left w:val="single" w:color="auto" w:sz="4" w:space="0"/>
              <w:bottom w:val="single" w:color="auto" w:sz="4" w:space="0"/>
              <w:right w:val="single" w:color="auto" w:sz="12" w:space="0"/>
            </w:tcBorders>
          </w:tcPr>
          <w:p>
            <w:pPr>
              <w:spacing w:before="240" w:after="240" w:line="400" w:lineRule="exact"/>
              <w:rPr>
                <w:rFonts w:ascii="宋体" w:hAnsi="宋体"/>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76" w:type="dxa"/>
            <w:tcBorders>
              <w:top w:val="single" w:color="auto" w:sz="4" w:space="0"/>
              <w:left w:val="single" w:color="auto" w:sz="12" w:space="0"/>
              <w:bottom w:val="single" w:color="auto" w:sz="4" w:space="0"/>
              <w:right w:val="single" w:color="auto" w:sz="4" w:space="0"/>
            </w:tcBorders>
          </w:tcPr>
          <w:p>
            <w:pPr>
              <w:spacing w:before="240" w:after="240" w:line="400" w:lineRule="exact"/>
              <w:jc w:val="center"/>
              <w:rPr>
                <w:rFonts w:ascii="宋体" w:hAnsi="宋体"/>
                <w:snapToGrid w:val="0"/>
                <w:kern w:val="0"/>
              </w:rPr>
            </w:pPr>
            <w:r>
              <w:rPr>
                <w:rFonts w:hint="eastAsia" w:ascii="宋体" w:hAnsi="宋体"/>
                <w:snapToGrid w:val="0"/>
                <w:kern w:val="0"/>
              </w:rPr>
              <w:t>3</w:t>
            </w:r>
          </w:p>
        </w:tc>
        <w:tc>
          <w:tcPr>
            <w:tcW w:w="2393"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551"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803" w:type="dxa"/>
            <w:tcBorders>
              <w:top w:val="single" w:color="auto" w:sz="4" w:space="0"/>
              <w:left w:val="single" w:color="auto" w:sz="4" w:space="0"/>
              <w:bottom w:val="single" w:color="auto" w:sz="4" w:space="0"/>
              <w:right w:val="single" w:color="auto" w:sz="12" w:space="0"/>
            </w:tcBorders>
          </w:tcPr>
          <w:p>
            <w:pPr>
              <w:spacing w:before="240" w:after="240" w:line="400" w:lineRule="exact"/>
              <w:rPr>
                <w:rFonts w:ascii="宋体" w:hAnsi="宋体"/>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76" w:type="dxa"/>
            <w:tcBorders>
              <w:top w:val="single" w:color="auto" w:sz="4" w:space="0"/>
              <w:left w:val="single" w:color="auto" w:sz="12" w:space="0"/>
              <w:bottom w:val="single" w:color="auto" w:sz="4" w:space="0"/>
              <w:right w:val="single" w:color="auto" w:sz="4" w:space="0"/>
            </w:tcBorders>
          </w:tcPr>
          <w:p>
            <w:pPr>
              <w:spacing w:before="240" w:after="240" w:line="400" w:lineRule="exact"/>
              <w:rPr>
                <w:rFonts w:ascii="宋体" w:hAnsi="宋体"/>
                <w:snapToGrid w:val="0"/>
                <w:kern w:val="0"/>
              </w:rPr>
            </w:pPr>
          </w:p>
        </w:tc>
        <w:tc>
          <w:tcPr>
            <w:tcW w:w="2393"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551"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803" w:type="dxa"/>
            <w:tcBorders>
              <w:top w:val="single" w:color="auto" w:sz="4" w:space="0"/>
              <w:left w:val="single" w:color="auto" w:sz="4" w:space="0"/>
              <w:bottom w:val="single" w:color="auto" w:sz="4" w:space="0"/>
              <w:right w:val="single" w:color="auto" w:sz="12" w:space="0"/>
            </w:tcBorders>
          </w:tcPr>
          <w:p>
            <w:pPr>
              <w:spacing w:before="240" w:after="240" w:line="400" w:lineRule="exact"/>
              <w:rPr>
                <w:rFonts w:ascii="宋体" w:hAnsi="宋体"/>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76" w:type="dxa"/>
            <w:tcBorders>
              <w:top w:val="single" w:color="auto" w:sz="4" w:space="0"/>
              <w:left w:val="single" w:color="auto" w:sz="12" w:space="0"/>
              <w:bottom w:val="single" w:color="auto" w:sz="4" w:space="0"/>
              <w:right w:val="single" w:color="auto" w:sz="4" w:space="0"/>
            </w:tcBorders>
          </w:tcPr>
          <w:p>
            <w:pPr>
              <w:spacing w:before="240" w:after="240" w:line="400" w:lineRule="exact"/>
              <w:rPr>
                <w:rFonts w:ascii="宋体" w:hAnsi="宋体"/>
                <w:snapToGrid w:val="0"/>
                <w:kern w:val="0"/>
              </w:rPr>
            </w:pPr>
          </w:p>
        </w:tc>
        <w:tc>
          <w:tcPr>
            <w:tcW w:w="2393"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551"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803" w:type="dxa"/>
            <w:tcBorders>
              <w:top w:val="single" w:color="auto" w:sz="4" w:space="0"/>
              <w:left w:val="single" w:color="auto" w:sz="4" w:space="0"/>
              <w:bottom w:val="single" w:color="auto" w:sz="4" w:space="0"/>
              <w:right w:val="single" w:color="auto" w:sz="12" w:space="0"/>
            </w:tcBorders>
          </w:tcPr>
          <w:p>
            <w:pPr>
              <w:spacing w:before="240" w:after="240" w:line="400" w:lineRule="exact"/>
              <w:rPr>
                <w:rFonts w:ascii="宋体" w:hAnsi="宋体"/>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76" w:type="dxa"/>
            <w:tcBorders>
              <w:top w:val="single" w:color="auto" w:sz="4" w:space="0"/>
              <w:left w:val="single" w:color="auto" w:sz="12" w:space="0"/>
              <w:bottom w:val="single" w:color="auto" w:sz="4" w:space="0"/>
              <w:right w:val="single" w:color="auto" w:sz="4" w:space="0"/>
            </w:tcBorders>
          </w:tcPr>
          <w:p>
            <w:pPr>
              <w:spacing w:before="240" w:after="240" w:line="400" w:lineRule="exact"/>
              <w:rPr>
                <w:rFonts w:ascii="宋体" w:hAnsi="宋体"/>
                <w:snapToGrid w:val="0"/>
                <w:kern w:val="0"/>
              </w:rPr>
            </w:pPr>
          </w:p>
        </w:tc>
        <w:tc>
          <w:tcPr>
            <w:tcW w:w="2393"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551"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803" w:type="dxa"/>
            <w:tcBorders>
              <w:top w:val="single" w:color="auto" w:sz="4" w:space="0"/>
              <w:left w:val="single" w:color="auto" w:sz="4" w:space="0"/>
              <w:bottom w:val="single" w:color="auto" w:sz="4" w:space="0"/>
              <w:right w:val="single" w:color="auto" w:sz="12" w:space="0"/>
            </w:tcBorders>
          </w:tcPr>
          <w:p>
            <w:pPr>
              <w:spacing w:before="240" w:after="240" w:line="400" w:lineRule="exact"/>
              <w:rPr>
                <w:rFonts w:ascii="宋体" w:hAnsi="宋体"/>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76" w:type="dxa"/>
            <w:tcBorders>
              <w:top w:val="single" w:color="auto" w:sz="4" w:space="0"/>
              <w:left w:val="single" w:color="auto" w:sz="12" w:space="0"/>
              <w:bottom w:val="single" w:color="auto" w:sz="4" w:space="0"/>
              <w:right w:val="single" w:color="auto" w:sz="4" w:space="0"/>
            </w:tcBorders>
          </w:tcPr>
          <w:p>
            <w:pPr>
              <w:spacing w:before="240" w:after="240" w:line="400" w:lineRule="exact"/>
              <w:rPr>
                <w:rFonts w:ascii="宋体" w:hAnsi="宋体"/>
                <w:snapToGrid w:val="0"/>
                <w:kern w:val="0"/>
              </w:rPr>
            </w:pPr>
          </w:p>
        </w:tc>
        <w:tc>
          <w:tcPr>
            <w:tcW w:w="2393"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551" w:type="dxa"/>
            <w:tcBorders>
              <w:top w:val="single" w:color="auto" w:sz="4" w:space="0"/>
              <w:left w:val="single" w:color="auto" w:sz="4" w:space="0"/>
              <w:bottom w:val="single" w:color="auto" w:sz="4" w:space="0"/>
              <w:right w:val="single" w:color="auto" w:sz="4" w:space="0"/>
            </w:tcBorders>
          </w:tcPr>
          <w:p>
            <w:pPr>
              <w:spacing w:before="240" w:after="240" w:line="400" w:lineRule="exact"/>
              <w:rPr>
                <w:rFonts w:ascii="宋体" w:hAnsi="宋体"/>
                <w:snapToGrid w:val="0"/>
                <w:kern w:val="0"/>
              </w:rPr>
            </w:pPr>
          </w:p>
        </w:tc>
        <w:tc>
          <w:tcPr>
            <w:tcW w:w="2803" w:type="dxa"/>
            <w:tcBorders>
              <w:top w:val="single" w:color="auto" w:sz="4" w:space="0"/>
              <w:left w:val="single" w:color="auto" w:sz="4" w:space="0"/>
              <w:bottom w:val="single" w:color="auto" w:sz="4" w:space="0"/>
              <w:right w:val="single" w:color="auto" w:sz="12" w:space="0"/>
            </w:tcBorders>
          </w:tcPr>
          <w:p>
            <w:pPr>
              <w:spacing w:before="240" w:after="240" w:line="400" w:lineRule="exact"/>
              <w:rPr>
                <w:rFonts w:ascii="宋体" w:hAnsi="宋体"/>
                <w:snapToGrid w:val="0"/>
                <w:kern w:val="0"/>
              </w:rPr>
            </w:pPr>
          </w:p>
        </w:tc>
      </w:tr>
    </w:tbl>
    <w:p>
      <w:pPr>
        <w:adjustRightInd w:val="0"/>
        <w:snapToGrid w:val="0"/>
        <w:spacing w:line="360" w:lineRule="auto"/>
        <w:rPr>
          <w:rFonts w:ascii="宋体" w:hAnsi="宋体"/>
          <w:bCs/>
          <w:snapToGrid w:val="0"/>
          <w:kern w:val="0"/>
        </w:rPr>
      </w:pPr>
      <w:r>
        <w:rPr>
          <w:rFonts w:hint="eastAsia" w:ascii="宋体" w:hAnsi="宋体"/>
          <w:bCs/>
          <w:snapToGrid w:val="0"/>
          <w:kern w:val="0"/>
        </w:rPr>
        <w:t>供应商：（公章)</w:t>
      </w:r>
    </w:p>
    <w:p>
      <w:pPr>
        <w:adjustRightInd w:val="0"/>
        <w:snapToGrid w:val="0"/>
        <w:spacing w:line="360" w:lineRule="auto"/>
        <w:rPr>
          <w:rFonts w:ascii="宋体" w:hAnsi="宋体"/>
          <w:bCs/>
          <w:snapToGrid w:val="0"/>
          <w:kern w:val="0"/>
        </w:rPr>
      </w:pPr>
      <w:r>
        <w:rPr>
          <w:rFonts w:hint="eastAsia" w:ascii="宋体" w:hAnsi="宋体"/>
          <w:bCs/>
          <w:snapToGrid w:val="0"/>
          <w:kern w:val="0"/>
        </w:rPr>
        <w:t>法定代表人或法定代表人授权代表：（盖章或签字)</w:t>
      </w:r>
    </w:p>
    <w:p>
      <w:pPr>
        <w:adjustRightInd w:val="0"/>
        <w:snapToGrid w:val="0"/>
        <w:spacing w:line="360" w:lineRule="auto"/>
        <w:rPr>
          <w:rFonts w:ascii="宋体" w:hAnsi="宋体"/>
          <w:bCs/>
          <w:snapToGrid w:val="0"/>
          <w:kern w:val="0"/>
        </w:rPr>
      </w:pPr>
      <w:r>
        <w:rPr>
          <w:rFonts w:hint="eastAsia" w:ascii="宋体" w:hAnsi="宋体"/>
          <w:bCs/>
          <w:snapToGrid w:val="0"/>
          <w:kern w:val="0"/>
        </w:rPr>
        <w:t>时间：</w:t>
      </w:r>
    </w:p>
    <w:p>
      <w:pPr>
        <w:spacing w:line="400" w:lineRule="exact"/>
        <w:jc w:val="center"/>
        <w:rPr>
          <w:rFonts w:ascii="宋体" w:hAnsi="宋体"/>
          <w:snapToGrid w:val="0"/>
          <w:kern w:val="0"/>
        </w:rPr>
      </w:pPr>
    </w:p>
    <w:p>
      <w:pPr>
        <w:widowControl/>
        <w:jc w:val="left"/>
        <w:rPr>
          <w:rFonts w:ascii="宋体" w:hAnsi="宋体" w:cs="宋体"/>
          <w:b/>
          <w:color w:val="000000"/>
          <w:kern w:val="0"/>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附件五、技术条款偏离表格式 </w:t>
      </w:r>
    </w:p>
    <w:p>
      <w:pPr>
        <w:pStyle w:val="28"/>
        <w:ind w:firstLine="422"/>
        <w:rPr>
          <w:rFonts w:ascii="宋体" w:hAnsi="宋体" w:cs="宋体"/>
          <w:b/>
          <w:color w:val="000000"/>
          <w:kern w:val="0"/>
          <w:szCs w:val="21"/>
          <w:lang w:val="en-US"/>
        </w:rPr>
      </w:pPr>
    </w:p>
    <w:p>
      <w:pPr>
        <w:adjustRightInd w:val="0"/>
        <w:snapToGrid w:val="0"/>
        <w:spacing w:line="360" w:lineRule="auto"/>
        <w:rPr>
          <w:rFonts w:ascii="宋体" w:hAnsi="宋体" w:cs="楷体_GB2312"/>
          <w:snapToGrid w:val="0"/>
          <w:kern w:val="0"/>
          <w:lang w:val="zh-CN"/>
        </w:rPr>
      </w:pPr>
      <w:r>
        <w:rPr>
          <w:rFonts w:hint="eastAsia" w:ascii="宋体" w:hAnsi="宋体" w:cs="楷体_GB2312"/>
          <w:snapToGrid w:val="0"/>
          <w:kern w:val="0"/>
          <w:lang w:val="zh-CN"/>
        </w:rPr>
        <w:t>项目名称：</w:t>
      </w:r>
    </w:p>
    <w:tbl>
      <w:tblPr>
        <w:tblStyle w:val="23"/>
        <w:tblW w:w="890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843"/>
        <w:gridCol w:w="1843"/>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napToGrid w:val="0"/>
                <w:kern w:val="0"/>
              </w:rPr>
            </w:pPr>
            <w:r>
              <w:rPr>
                <w:rFonts w:hint="eastAsia" w:ascii="宋体" w:hAnsi="宋体"/>
                <w:snapToGrid w:val="0"/>
                <w:kern w:val="0"/>
              </w:rPr>
              <w:t>序号</w:t>
            </w:r>
          </w:p>
        </w:tc>
        <w:tc>
          <w:tcPr>
            <w:tcW w:w="3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napToGrid w:val="0"/>
                <w:kern w:val="0"/>
              </w:rPr>
            </w:pPr>
            <w:r>
              <w:rPr>
                <w:rFonts w:hint="eastAsia" w:ascii="宋体" w:hAnsi="宋体"/>
                <w:snapToGrid w:val="0"/>
                <w:kern w:val="0"/>
              </w:rPr>
              <w:t>采购文件技术要求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napToGrid w:val="0"/>
                <w:kern w:val="0"/>
              </w:rPr>
            </w:pPr>
            <w:r>
              <w:rPr>
                <w:rFonts w:hint="eastAsia" w:ascii="宋体" w:hAnsi="宋体"/>
                <w:snapToGrid w:val="0"/>
                <w:kern w:val="0"/>
              </w:rPr>
              <w:t>技术响应</w:t>
            </w:r>
          </w:p>
        </w:tc>
        <w:tc>
          <w:tcPr>
            <w:tcW w:w="1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napToGrid w:val="0"/>
                <w:kern w:val="0"/>
              </w:rPr>
            </w:pPr>
            <w:r>
              <w:rPr>
                <w:rFonts w:hint="eastAsia" w:ascii="宋体" w:hAnsi="宋体"/>
                <w:snapToGrid w:val="0"/>
                <w:kern w:val="0"/>
              </w:rPr>
              <w:t>具体说明</w:t>
            </w:r>
          </w:p>
          <w:p>
            <w:pPr>
              <w:spacing w:line="400" w:lineRule="exact"/>
              <w:jc w:val="center"/>
              <w:rPr>
                <w:rFonts w:ascii="宋体" w:hAnsi="宋体"/>
                <w:snapToGrid w:val="0"/>
                <w:kern w:val="0"/>
              </w:rPr>
            </w:pPr>
            <w:r>
              <w:rPr>
                <w:rFonts w:hint="eastAsia" w:ascii="宋体" w:hAnsi="宋体"/>
                <w:snapToGrid w:val="0"/>
                <w:kern w:val="0"/>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3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c>
          <w:tcPr>
            <w:tcW w:w="185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3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c>
          <w:tcPr>
            <w:tcW w:w="185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3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c>
          <w:tcPr>
            <w:tcW w:w="185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3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c>
          <w:tcPr>
            <w:tcW w:w="185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3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c>
          <w:tcPr>
            <w:tcW w:w="185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3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c>
          <w:tcPr>
            <w:tcW w:w="185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3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c>
          <w:tcPr>
            <w:tcW w:w="185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3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c>
          <w:tcPr>
            <w:tcW w:w="185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384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napToGrid w:val="0"/>
                <w:kern w:val="0"/>
              </w:rPr>
            </w:pPr>
          </w:p>
        </w:tc>
        <w:tc>
          <w:tcPr>
            <w:tcW w:w="184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c>
          <w:tcPr>
            <w:tcW w:w="185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napToGrid w:val="0"/>
                <w:kern w:val="0"/>
              </w:rPr>
            </w:pPr>
          </w:p>
        </w:tc>
      </w:tr>
    </w:tbl>
    <w:p>
      <w:pPr>
        <w:adjustRightInd w:val="0"/>
        <w:snapToGrid w:val="0"/>
        <w:spacing w:line="360" w:lineRule="auto"/>
        <w:rPr>
          <w:rFonts w:ascii="宋体" w:hAnsi="宋体"/>
          <w:bCs/>
          <w:snapToGrid w:val="0"/>
          <w:kern w:val="0"/>
        </w:rPr>
      </w:pPr>
      <w:r>
        <w:rPr>
          <w:rFonts w:hint="eastAsia" w:ascii="宋体" w:hAnsi="宋体"/>
          <w:bCs/>
          <w:snapToGrid w:val="0"/>
          <w:kern w:val="0"/>
        </w:rPr>
        <w:t>供应商：（公章)</w:t>
      </w:r>
    </w:p>
    <w:p>
      <w:pPr>
        <w:adjustRightInd w:val="0"/>
        <w:snapToGrid w:val="0"/>
        <w:spacing w:line="360" w:lineRule="auto"/>
        <w:rPr>
          <w:rFonts w:ascii="宋体" w:hAnsi="宋体"/>
          <w:bCs/>
          <w:snapToGrid w:val="0"/>
          <w:kern w:val="0"/>
        </w:rPr>
      </w:pPr>
      <w:r>
        <w:rPr>
          <w:rFonts w:hint="eastAsia" w:ascii="宋体" w:hAnsi="宋体"/>
          <w:bCs/>
          <w:snapToGrid w:val="0"/>
          <w:kern w:val="0"/>
        </w:rPr>
        <w:t>法定代表人或法定代表人授权代表：（盖章或签字)</w:t>
      </w:r>
    </w:p>
    <w:p>
      <w:pPr>
        <w:adjustRightInd w:val="0"/>
        <w:snapToGrid w:val="0"/>
        <w:spacing w:line="360" w:lineRule="auto"/>
        <w:rPr>
          <w:rFonts w:ascii="宋体" w:hAnsi="宋体"/>
          <w:bCs/>
          <w:snapToGrid w:val="0"/>
          <w:kern w:val="0"/>
        </w:rPr>
      </w:pPr>
      <w:r>
        <w:rPr>
          <w:rFonts w:hint="eastAsia" w:ascii="宋体" w:hAnsi="宋体"/>
          <w:bCs/>
          <w:snapToGrid w:val="0"/>
          <w:kern w:val="0"/>
        </w:rPr>
        <w:t>时间：</w:t>
      </w: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left="0" w:leftChars="0" w:firstLine="0" w:firstLineChars="0"/>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附件六、</w:t>
      </w:r>
      <w:bookmarkStart w:id="37" w:name="_Hlk161064884"/>
      <w:r>
        <w:rPr>
          <w:rFonts w:hint="eastAsia" w:ascii="宋体" w:hAnsi="宋体" w:cs="宋体"/>
          <w:b/>
          <w:bCs/>
          <w:color w:val="000000"/>
          <w:kern w:val="0"/>
          <w:sz w:val="28"/>
          <w:szCs w:val="28"/>
        </w:rPr>
        <w:t>项目实施方案</w:t>
      </w:r>
      <w:bookmarkEnd w:id="37"/>
      <w:r>
        <w:rPr>
          <w:rFonts w:hint="eastAsia" w:ascii="宋体" w:hAnsi="宋体" w:cs="宋体"/>
          <w:b/>
          <w:bCs/>
          <w:color w:val="000000"/>
          <w:kern w:val="0"/>
          <w:sz w:val="28"/>
          <w:szCs w:val="28"/>
        </w:rPr>
        <w:t xml:space="preserve">（自拟）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widowControl/>
        <w:jc w:val="left"/>
        <w:rPr>
          <w:rFonts w:ascii="宋体" w:hAnsi="宋体" w:cs="宋体"/>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w:t>
      </w:r>
      <w:r>
        <w:rPr>
          <w:rFonts w:hint="eastAsia" w:ascii="宋体" w:hAnsi="宋体"/>
          <w:b/>
          <w:bCs/>
          <w:snapToGrid w:val="0"/>
          <w:kern w:val="0"/>
          <w:sz w:val="28"/>
          <w:szCs w:val="28"/>
        </w:rPr>
        <w:t>类似业绩</w:t>
      </w:r>
    </w:p>
    <w:tbl>
      <w:tblPr>
        <w:tblStyle w:val="23"/>
        <w:tblW w:w="96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2199"/>
        <w:gridCol w:w="1515"/>
        <w:gridCol w:w="1515"/>
        <w:gridCol w:w="1485"/>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076" w:type="dxa"/>
            <w:tcBorders>
              <w:right w:val="single" w:color="auto" w:sz="4" w:space="0"/>
            </w:tcBorders>
            <w:vAlign w:val="center"/>
          </w:tcPr>
          <w:p>
            <w:pPr>
              <w:ind w:right="-10" w:rightChars="-5"/>
              <w:jc w:val="center"/>
              <w:rPr>
                <w:rFonts w:ascii="宋体" w:hAnsi="宋体" w:cs="Tahoma"/>
                <w:snapToGrid w:val="0"/>
                <w:kern w:val="0"/>
              </w:rPr>
            </w:pPr>
            <w:r>
              <w:rPr>
                <w:rFonts w:hint="eastAsia" w:ascii="宋体" w:hAnsi="宋体" w:cs="Tahoma"/>
                <w:snapToGrid w:val="0"/>
                <w:kern w:val="0"/>
              </w:rPr>
              <w:t>序号</w:t>
            </w:r>
          </w:p>
        </w:tc>
        <w:tc>
          <w:tcPr>
            <w:tcW w:w="2199" w:type="dxa"/>
            <w:tcBorders>
              <w:left w:val="single" w:color="auto" w:sz="4" w:space="0"/>
            </w:tcBorders>
            <w:vAlign w:val="center"/>
          </w:tcPr>
          <w:p>
            <w:pPr>
              <w:ind w:left="-92" w:leftChars="-44" w:right="-65" w:rightChars="-31"/>
              <w:jc w:val="center"/>
              <w:rPr>
                <w:rFonts w:ascii="宋体" w:hAnsi="宋体" w:cs="Tahoma"/>
                <w:snapToGrid w:val="0"/>
                <w:kern w:val="0"/>
              </w:rPr>
            </w:pPr>
          </w:p>
          <w:p>
            <w:pPr>
              <w:ind w:left="-92" w:leftChars="-44" w:right="-65" w:rightChars="-31"/>
              <w:jc w:val="center"/>
              <w:rPr>
                <w:rFonts w:ascii="宋体" w:hAnsi="宋体" w:cs="Tahoma"/>
                <w:snapToGrid w:val="0"/>
                <w:kern w:val="0"/>
              </w:rPr>
            </w:pPr>
            <w:r>
              <w:rPr>
                <w:rFonts w:hint="eastAsia" w:ascii="宋体" w:hAnsi="宋体" w:cs="Tahoma"/>
                <w:snapToGrid w:val="0"/>
                <w:kern w:val="0"/>
              </w:rPr>
              <w:t>项目名称</w:t>
            </w:r>
          </w:p>
          <w:p>
            <w:pPr>
              <w:ind w:left="-107" w:leftChars="-51" w:right="-38" w:rightChars="-18"/>
              <w:jc w:val="center"/>
              <w:rPr>
                <w:rFonts w:ascii="宋体" w:hAnsi="宋体" w:cs="Tahoma"/>
                <w:snapToGrid w:val="0"/>
                <w:kern w:val="0"/>
              </w:rPr>
            </w:pPr>
          </w:p>
        </w:tc>
        <w:tc>
          <w:tcPr>
            <w:tcW w:w="1515" w:type="dxa"/>
            <w:vAlign w:val="center"/>
          </w:tcPr>
          <w:p>
            <w:pPr>
              <w:ind w:right="-10" w:rightChars="-5"/>
              <w:jc w:val="center"/>
              <w:rPr>
                <w:rFonts w:ascii="宋体" w:hAnsi="宋体" w:cs="Tahoma"/>
                <w:snapToGrid w:val="0"/>
                <w:kern w:val="0"/>
              </w:rPr>
            </w:pPr>
            <w:r>
              <w:rPr>
                <w:rFonts w:hint="eastAsia" w:ascii="宋体" w:hAnsi="宋体" w:cs="Tahoma"/>
                <w:snapToGrid w:val="0"/>
                <w:kern w:val="0"/>
              </w:rPr>
              <w:t>项目内容</w:t>
            </w:r>
          </w:p>
        </w:tc>
        <w:tc>
          <w:tcPr>
            <w:tcW w:w="1515" w:type="dxa"/>
            <w:vAlign w:val="center"/>
          </w:tcPr>
          <w:p>
            <w:pPr>
              <w:ind w:right="-10" w:rightChars="-5"/>
              <w:jc w:val="center"/>
              <w:rPr>
                <w:rFonts w:ascii="宋体" w:hAnsi="宋体" w:cs="Tahoma"/>
                <w:snapToGrid w:val="0"/>
                <w:kern w:val="0"/>
              </w:rPr>
            </w:pPr>
            <w:r>
              <w:rPr>
                <w:rFonts w:hint="eastAsia" w:ascii="宋体" w:hAnsi="宋体" w:cs="Tahoma"/>
                <w:snapToGrid w:val="0"/>
                <w:kern w:val="0"/>
              </w:rPr>
              <w:t>采购单位</w:t>
            </w:r>
          </w:p>
        </w:tc>
        <w:tc>
          <w:tcPr>
            <w:tcW w:w="1485" w:type="dxa"/>
            <w:vAlign w:val="center"/>
          </w:tcPr>
          <w:p>
            <w:pPr>
              <w:ind w:right="-10" w:rightChars="-5"/>
              <w:jc w:val="center"/>
              <w:rPr>
                <w:rFonts w:ascii="宋体" w:hAnsi="宋体" w:cs="Tahoma"/>
                <w:snapToGrid w:val="0"/>
                <w:kern w:val="0"/>
              </w:rPr>
            </w:pPr>
            <w:r>
              <w:rPr>
                <w:rFonts w:hint="eastAsia" w:ascii="宋体" w:hAnsi="宋体" w:cs="Tahoma"/>
                <w:snapToGrid w:val="0"/>
                <w:kern w:val="0"/>
              </w:rPr>
              <w:t>合同日期</w:t>
            </w:r>
          </w:p>
        </w:tc>
        <w:tc>
          <w:tcPr>
            <w:tcW w:w="1843" w:type="dxa"/>
            <w:tcBorders>
              <w:right w:val="single" w:color="auto" w:sz="4" w:space="0"/>
            </w:tcBorders>
            <w:vAlign w:val="center"/>
          </w:tcPr>
          <w:p>
            <w:pPr>
              <w:ind w:right="-10" w:rightChars="-5"/>
              <w:jc w:val="center"/>
              <w:rPr>
                <w:rFonts w:ascii="宋体" w:hAnsi="宋体" w:cs="Tahoma"/>
                <w:snapToGrid w:val="0"/>
                <w:kern w:val="0"/>
              </w:rPr>
            </w:pPr>
            <w:r>
              <w:rPr>
                <w:rFonts w:hint="eastAsia" w:ascii="宋体" w:hAnsi="宋体" w:cs="Tahoma"/>
                <w:snapToGrid w:val="0"/>
                <w:kern w:val="0"/>
              </w:rPr>
              <w:t>业主单位联系人联系方式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6" w:type="dxa"/>
            <w:tcBorders>
              <w:right w:val="single" w:color="auto" w:sz="4" w:space="0"/>
            </w:tcBorders>
            <w:vAlign w:val="center"/>
          </w:tcPr>
          <w:p>
            <w:pPr>
              <w:ind w:right="-10" w:rightChars="-5"/>
              <w:jc w:val="center"/>
              <w:rPr>
                <w:rFonts w:ascii="宋体" w:hAnsi="宋体" w:cs="Tahoma"/>
                <w:snapToGrid w:val="0"/>
                <w:kern w:val="0"/>
              </w:rPr>
            </w:pPr>
          </w:p>
        </w:tc>
        <w:tc>
          <w:tcPr>
            <w:tcW w:w="2199" w:type="dxa"/>
            <w:tcBorders>
              <w:left w:val="single" w:color="auto" w:sz="4" w:space="0"/>
            </w:tcBorders>
            <w:vAlign w:val="center"/>
          </w:tcPr>
          <w:p>
            <w:pPr>
              <w:ind w:right="-10" w:rightChars="-5"/>
              <w:jc w:val="center"/>
              <w:rPr>
                <w:rFonts w:ascii="宋体" w:hAnsi="宋体" w:cs="Tahoma"/>
                <w:snapToGrid w:val="0"/>
                <w:kern w:val="0"/>
              </w:rPr>
            </w:pPr>
          </w:p>
        </w:tc>
        <w:tc>
          <w:tcPr>
            <w:tcW w:w="1515" w:type="dxa"/>
          </w:tcPr>
          <w:p>
            <w:pPr>
              <w:ind w:right="-10" w:rightChars="-5"/>
              <w:jc w:val="center"/>
              <w:rPr>
                <w:rFonts w:ascii="宋体" w:hAnsi="宋体" w:cs="Tahoma"/>
                <w:snapToGrid w:val="0"/>
                <w:kern w:val="0"/>
              </w:rPr>
            </w:pPr>
          </w:p>
        </w:tc>
        <w:tc>
          <w:tcPr>
            <w:tcW w:w="1515" w:type="dxa"/>
            <w:vAlign w:val="center"/>
          </w:tcPr>
          <w:p>
            <w:pPr>
              <w:ind w:right="-10" w:rightChars="-5"/>
              <w:jc w:val="center"/>
              <w:rPr>
                <w:rFonts w:ascii="宋体" w:hAnsi="宋体" w:cs="Tahoma"/>
                <w:snapToGrid w:val="0"/>
                <w:kern w:val="0"/>
              </w:rPr>
            </w:pPr>
          </w:p>
        </w:tc>
        <w:tc>
          <w:tcPr>
            <w:tcW w:w="1485" w:type="dxa"/>
            <w:vAlign w:val="center"/>
          </w:tcPr>
          <w:p>
            <w:pPr>
              <w:jc w:val="center"/>
              <w:rPr>
                <w:rFonts w:ascii="宋体" w:hAnsi="宋体" w:cs="Tahoma"/>
                <w:snapToGrid w:val="0"/>
                <w:kern w:val="0"/>
              </w:rPr>
            </w:pPr>
          </w:p>
        </w:tc>
        <w:tc>
          <w:tcPr>
            <w:tcW w:w="1843" w:type="dxa"/>
            <w:tcBorders>
              <w:right w:val="single" w:color="auto" w:sz="4" w:space="0"/>
            </w:tcBorders>
            <w:vAlign w:val="center"/>
          </w:tcPr>
          <w:p>
            <w:pPr>
              <w:jc w:val="center"/>
              <w:rPr>
                <w:rFonts w:ascii="宋体" w:hAnsi="宋体" w:cs="Tahoma"/>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6" w:type="dxa"/>
            <w:tcBorders>
              <w:right w:val="single" w:color="auto" w:sz="4" w:space="0"/>
            </w:tcBorders>
            <w:vAlign w:val="center"/>
          </w:tcPr>
          <w:p>
            <w:pPr>
              <w:jc w:val="center"/>
              <w:rPr>
                <w:rFonts w:ascii="宋体" w:hAnsi="宋体" w:cs="Tahoma"/>
                <w:snapToGrid w:val="0"/>
                <w:kern w:val="0"/>
              </w:rPr>
            </w:pPr>
          </w:p>
        </w:tc>
        <w:tc>
          <w:tcPr>
            <w:tcW w:w="2199" w:type="dxa"/>
            <w:tcBorders>
              <w:left w:val="single" w:color="auto" w:sz="4" w:space="0"/>
            </w:tcBorders>
            <w:vAlign w:val="center"/>
          </w:tcPr>
          <w:p>
            <w:pPr>
              <w:jc w:val="center"/>
              <w:rPr>
                <w:rFonts w:ascii="宋体" w:hAnsi="宋体" w:cs="Tahoma"/>
                <w:snapToGrid w:val="0"/>
                <w:kern w:val="0"/>
              </w:rPr>
            </w:pPr>
          </w:p>
        </w:tc>
        <w:tc>
          <w:tcPr>
            <w:tcW w:w="1515" w:type="dxa"/>
          </w:tcPr>
          <w:p>
            <w:pPr>
              <w:jc w:val="center"/>
              <w:rPr>
                <w:rFonts w:ascii="宋体" w:hAnsi="宋体" w:cs="Tahoma"/>
                <w:snapToGrid w:val="0"/>
                <w:kern w:val="0"/>
              </w:rPr>
            </w:pPr>
          </w:p>
        </w:tc>
        <w:tc>
          <w:tcPr>
            <w:tcW w:w="1515" w:type="dxa"/>
            <w:vAlign w:val="center"/>
          </w:tcPr>
          <w:p>
            <w:pPr>
              <w:jc w:val="center"/>
              <w:rPr>
                <w:rFonts w:ascii="宋体" w:hAnsi="宋体" w:cs="Tahoma"/>
                <w:snapToGrid w:val="0"/>
                <w:kern w:val="0"/>
              </w:rPr>
            </w:pPr>
          </w:p>
        </w:tc>
        <w:tc>
          <w:tcPr>
            <w:tcW w:w="1485" w:type="dxa"/>
            <w:vAlign w:val="center"/>
          </w:tcPr>
          <w:p>
            <w:pPr>
              <w:jc w:val="center"/>
              <w:rPr>
                <w:rFonts w:ascii="宋体" w:hAnsi="宋体" w:cs="Tahoma"/>
                <w:snapToGrid w:val="0"/>
                <w:kern w:val="0"/>
              </w:rPr>
            </w:pPr>
          </w:p>
        </w:tc>
        <w:tc>
          <w:tcPr>
            <w:tcW w:w="1843" w:type="dxa"/>
            <w:tcBorders>
              <w:right w:val="single" w:color="auto" w:sz="4" w:space="0"/>
            </w:tcBorders>
            <w:vAlign w:val="center"/>
          </w:tcPr>
          <w:p>
            <w:pPr>
              <w:jc w:val="center"/>
              <w:rPr>
                <w:rFonts w:ascii="宋体" w:hAnsi="宋体" w:cs="Tahoma"/>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6" w:type="dxa"/>
            <w:tcBorders>
              <w:right w:val="single" w:color="auto" w:sz="4" w:space="0"/>
            </w:tcBorders>
            <w:vAlign w:val="center"/>
          </w:tcPr>
          <w:p>
            <w:pPr>
              <w:jc w:val="center"/>
              <w:rPr>
                <w:rFonts w:ascii="宋体" w:hAnsi="宋体" w:cs="Tahoma"/>
                <w:snapToGrid w:val="0"/>
                <w:kern w:val="0"/>
              </w:rPr>
            </w:pPr>
          </w:p>
        </w:tc>
        <w:tc>
          <w:tcPr>
            <w:tcW w:w="2199" w:type="dxa"/>
            <w:tcBorders>
              <w:left w:val="single" w:color="auto" w:sz="4" w:space="0"/>
            </w:tcBorders>
            <w:vAlign w:val="center"/>
          </w:tcPr>
          <w:p>
            <w:pPr>
              <w:jc w:val="center"/>
              <w:rPr>
                <w:rFonts w:ascii="宋体" w:hAnsi="宋体" w:cs="Tahoma"/>
                <w:snapToGrid w:val="0"/>
                <w:kern w:val="0"/>
              </w:rPr>
            </w:pPr>
          </w:p>
        </w:tc>
        <w:tc>
          <w:tcPr>
            <w:tcW w:w="1515" w:type="dxa"/>
          </w:tcPr>
          <w:p>
            <w:pPr>
              <w:jc w:val="center"/>
              <w:rPr>
                <w:rFonts w:ascii="宋体" w:hAnsi="宋体" w:cs="Tahoma"/>
                <w:snapToGrid w:val="0"/>
                <w:kern w:val="0"/>
              </w:rPr>
            </w:pPr>
          </w:p>
        </w:tc>
        <w:tc>
          <w:tcPr>
            <w:tcW w:w="1515" w:type="dxa"/>
            <w:vAlign w:val="center"/>
          </w:tcPr>
          <w:p>
            <w:pPr>
              <w:jc w:val="center"/>
              <w:rPr>
                <w:rFonts w:ascii="宋体" w:hAnsi="宋体" w:cs="Tahoma"/>
                <w:snapToGrid w:val="0"/>
                <w:kern w:val="0"/>
              </w:rPr>
            </w:pPr>
          </w:p>
        </w:tc>
        <w:tc>
          <w:tcPr>
            <w:tcW w:w="1485" w:type="dxa"/>
            <w:vAlign w:val="center"/>
          </w:tcPr>
          <w:p>
            <w:pPr>
              <w:jc w:val="center"/>
              <w:rPr>
                <w:rFonts w:ascii="宋体" w:hAnsi="宋体" w:cs="Tahoma"/>
                <w:snapToGrid w:val="0"/>
                <w:kern w:val="0"/>
              </w:rPr>
            </w:pPr>
          </w:p>
        </w:tc>
        <w:tc>
          <w:tcPr>
            <w:tcW w:w="1843" w:type="dxa"/>
            <w:tcBorders>
              <w:right w:val="single" w:color="auto" w:sz="4" w:space="0"/>
            </w:tcBorders>
            <w:vAlign w:val="center"/>
          </w:tcPr>
          <w:p>
            <w:pPr>
              <w:jc w:val="center"/>
              <w:rPr>
                <w:rFonts w:ascii="宋体" w:hAnsi="宋体" w:cs="Tahoma"/>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6" w:type="dxa"/>
            <w:tcBorders>
              <w:right w:val="single" w:color="auto" w:sz="4" w:space="0"/>
            </w:tcBorders>
            <w:vAlign w:val="center"/>
          </w:tcPr>
          <w:p>
            <w:pPr>
              <w:jc w:val="center"/>
              <w:rPr>
                <w:rFonts w:ascii="宋体" w:hAnsi="宋体" w:cs="Tahoma"/>
                <w:snapToGrid w:val="0"/>
                <w:kern w:val="0"/>
              </w:rPr>
            </w:pPr>
          </w:p>
        </w:tc>
        <w:tc>
          <w:tcPr>
            <w:tcW w:w="2199" w:type="dxa"/>
            <w:tcBorders>
              <w:left w:val="single" w:color="auto" w:sz="4" w:space="0"/>
            </w:tcBorders>
            <w:vAlign w:val="center"/>
          </w:tcPr>
          <w:p>
            <w:pPr>
              <w:jc w:val="center"/>
              <w:rPr>
                <w:rFonts w:ascii="宋体" w:hAnsi="宋体" w:cs="Tahoma"/>
                <w:snapToGrid w:val="0"/>
                <w:kern w:val="0"/>
              </w:rPr>
            </w:pPr>
          </w:p>
        </w:tc>
        <w:tc>
          <w:tcPr>
            <w:tcW w:w="1515" w:type="dxa"/>
          </w:tcPr>
          <w:p>
            <w:pPr>
              <w:jc w:val="center"/>
              <w:rPr>
                <w:rFonts w:ascii="宋体" w:hAnsi="宋体" w:cs="Tahoma"/>
                <w:snapToGrid w:val="0"/>
                <w:kern w:val="0"/>
              </w:rPr>
            </w:pPr>
          </w:p>
        </w:tc>
        <w:tc>
          <w:tcPr>
            <w:tcW w:w="1515" w:type="dxa"/>
            <w:vAlign w:val="center"/>
          </w:tcPr>
          <w:p>
            <w:pPr>
              <w:jc w:val="center"/>
              <w:rPr>
                <w:rFonts w:ascii="宋体" w:hAnsi="宋体" w:cs="Tahoma"/>
                <w:snapToGrid w:val="0"/>
                <w:kern w:val="0"/>
              </w:rPr>
            </w:pPr>
          </w:p>
        </w:tc>
        <w:tc>
          <w:tcPr>
            <w:tcW w:w="1485" w:type="dxa"/>
            <w:vAlign w:val="center"/>
          </w:tcPr>
          <w:p>
            <w:pPr>
              <w:jc w:val="center"/>
              <w:rPr>
                <w:rFonts w:ascii="宋体" w:hAnsi="宋体" w:cs="Tahoma"/>
                <w:snapToGrid w:val="0"/>
                <w:kern w:val="0"/>
              </w:rPr>
            </w:pPr>
          </w:p>
        </w:tc>
        <w:tc>
          <w:tcPr>
            <w:tcW w:w="1843" w:type="dxa"/>
            <w:tcBorders>
              <w:right w:val="single" w:color="auto" w:sz="4" w:space="0"/>
            </w:tcBorders>
            <w:vAlign w:val="center"/>
          </w:tcPr>
          <w:p>
            <w:pPr>
              <w:jc w:val="center"/>
              <w:rPr>
                <w:rFonts w:ascii="宋体" w:hAnsi="宋体" w:cs="Tahoma"/>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6" w:type="dxa"/>
            <w:tcBorders>
              <w:right w:val="single" w:color="auto" w:sz="4" w:space="0"/>
            </w:tcBorders>
            <w:vAlign w:val="center"/>
          </w:tcPr>
          <w:p>
            <w:pPr>
              <w:jc w:val="center"/>
              <w:rPr>
                <w:rFonts w:ascii="宋体" w:hAnsi="宋体" w:cs="Tahoma"/>
                <w:snapToGrid w:val="0"/>
                <w:kern w:val="0"/>
              </w:rPr>
            </w:pPr>
          </w:p>
        </w:tc>
        <w:tc>
          <w:tcPr>
            <w:tcW w:w="2199" w:type="dxa"/>
            <w:tcBorders>
              <w:left w:val="single" w:color="auto" w:sz="4" w:space="0"/>
            </w:tcBorders>
            <w:vAlign w:val="center"/>
          </w:tcPr>
          <w:p>
            <w:pPr>
              <w:jc w:val="center"/>
              <w:rPr>
                <w:rFonts w:ascii="宋体" w:hAnsi="宋体" w:cs="Tahoma"/>
                <w:snapToGrid w:val="0"/>
                <w:kern w:val="0"/>
              </w:rPr>
            </w:pPr>
          </w:p>
        </w:tc>
        <w:tc>
          <w:tcPr>
            <w:tcW w:w="1515" w:type="dxa"/>
          </w:tcPr>
          <w:p>
            <w:pPr>
              <w:jc w:val="center"/>
              <w:rPr>
                <w:rFonts w:ascii="宋体" w:hAnsi="宋体" w:cs="Tahoma"/>
                <w:snapToGrid w:val="0"/>
                <w:kern w:val="0"/>
              </w:rPr>
            </w:pPr>
          </w:p>
        </w:tc>
        <w:tc>
          <w:tcPr>
            <w:tcW w:w="1515" w:type="dxa"/>
            <w:vAlign w:val="center"/>
          </w:tcPr>
          <w:p>
            <w:pPr>
              <w:jc w:val="center"/>
              <w:rPr>
                <w:rFonts w:ascii="宋体" w:hAnsi="宋体" w:cs="Tahoma"/>
                <w:snapToGrid w:val="0"/>
                <w:kern w:val="0"/>
              </w:rPr>
            </w:pPr>
          </w:p>
        </w:tc>
        <w:tc>
          <w:tcPr>
            <w:tcW w:w="1485" w:type="dxa"/>
            <w:vAlign w:val="center"/>
          </w:tcPr>
          <w:p>
            <w:pPr>
              <w:jc w:val="center"/>
              <w:rPr>
                <w:rFonts w:ascii="宋体" w:hAnsi="宋体" w:cs="Tahoma"/>
                <w:snapToGrid w:val="0"/>
                <w:kern w:val="0"/>
              </w:rPr>
            </w:pPr>
          </w:p>
        </w:tc>
        <w:tc>
          <w:tcPr>
            <w:tcW w:w="1843" w:type="dxa"/>
            <w:tcBorders>
              <w:right w:val="single" w:color="auto" w:sz="4" w:space="0"/>
            </w:tcBorders>
            <w:vAlign w:val="center"/>
          </w:tcPr>
          <w:p>
            <w:pPr>
              <w:jc w:val="center"/>
              <w:rPr>
                <w:rFonts w:ascii="宋体" w:hAnsi="宋体" w:cs="Tahoma"/>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6" w:type="dxa"/>
            <w:tcBorders>
              <w:right w:val="single" w:color="auto" w:sz="4" w:space="0"/>
            </w:tcBorders>
            <w:vAlign w:val="center"/>
          </w:tcPr>
          <w:p>
            <w:pPr>
              <w:jc w:val="center"/>
              <w:rPr>
                <w:rFonts w:ascii="宋体" w:hAnsi="宋体" w:cs="Tahoma"/>
                <w:snapToGrid w:val="0"/>
                <w:kern w:val="0"/>
              </w:rPr>
            </w:pPr>
          </w:p>
        </w:tc>
        <w:tc>
          <w:tcPr>
            <w:tcW w:w="2199" w:type="dxa"/>
            <w:tcBorders>
              <w:left w:val="single" w:color="auto" w:sz="4" w:space="0"/>
            </w:tcBorders>
            <w:vAlign w:val="center"/>
          </w:tcPr>
          <w:p>
            <w:pPr>
              <w:jc w:val="center"/>
              <w:rPr>
                <w:rFonts w:ascii="宋体" w:hAnsi="宋体" w:cs="Tahoma"/>
                <w:snapToGrid w:val="0"/>
                <w:kern w:val="0"/>
              </w:rPr>
            </w:pPr>
          </w:p>
        </w:tc>
        <w:tc>
          <w:tcPr>
            <w:tcW w:w="1515" w:type="dxa"/>
          </w:tcPr>
          <w:p>
            <w:pPr>
              <w:jc w:val="center"/>
              <w:rPr>
                <w:rFonts w:ascii="宋体" w:hAnsi="宋体" w:cs="Tahoma"/>
                <w:snapToGrid w:val="0"/>
                <w:kern w:val="0"/>
              </w:rPr>
            </w:pPr>
          </w:p>
        </w:tc>
        <w:tc>
          <w:tcPr>
            <w:tcW w:w="1515" w:type="dxa"/>
            <w:vAlign w:val="center"/>
          </w:tcPr>
          <w:p>
            <w:pPr>
              <w:jc w:val="center"/>
              <w:rPr>
                <w:rFonts w:ascii="宋体" w:hAnsi="宋体" w:cs="Tahoma"/>
                <w:snapToGrid w:val="0"/>
                <w:kern w:val="0"/>
              </w:rPr>
            </w:pPr>
          </w:p>
        </w:tc>
        <w:tc>
          <w:tcPr>
            <w:tcW w:w="1485" w:type="dxa"/>
            <w:vAlign w:val="center"/>
          </w:tcPr>
          <w:p>
            <w:pPr>
              <w:jc w:val="center"/>
              <w:rPr>
                <w:rFonts w:ascii="宋体" w:hAnsi="宋体" w:cs="Tahoma"/>
                <w:snapToGrid w:val="0"/>
                <w:kern w:val="0"/>
              </w:rPr>
            </w:pPr>
          </w:p>
        </w:tc>
        <w:tc>
          <w:tcPr>
            <w:tcW w:w="1843" w:type="dxa"/>
            <w:tcBorders>
              <w:right w:val="single" w:color="auto" w:sz="4" w:space="0"/>
            </w:tcBorders>
            <w:vAlign w:val="center"/>
          </w:tcPr>
          <w:p>
            <w:pPr>
              <w:jc w:val="center"/>
              <w:rPr>
                <w:rFonts w:ascii="宋体" w:hAnsi="宋体" w:cs="Tahoma"/>
                <w:snapToGrid w:val="0"/>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76" w:type="dxa"/>
            <w:tcBorders>
              <w:right w:val="single" w:color="auto" w:sz="4" w:space="0"/>
            </w:tcBorders>
            <w:vAlign w:val="center"/>
          </w:tcPr>
          <w:p>
            <w:pPr>
              <w:jc w:val="center"/>
              <w:rPr>
                <w:rFonts w:ascii="宋体" w:hAnsi="宋体" w:cs="Tahoma"/>
                <w:snapToGrid w:val="0"/>
                <w:kern w:val="0"/>
              </w:rPr>
            </w:pPr>
          </w:p>
        </w:tc>
        <w:tc>
          <w:tcPr>
            <w:tcW w:w="2199" w:type="dxa"/>
            <w:tcBorders>
              <w:left w:val="single" w:color="auto" w:sz="4" w:space="0"/>
            </w:tcBorders>
            <w:vAlign w:val="center"/>
          </w:tcPr>
          <w:p>
            <w:pPr>
              <w:jc w:val="center"/>
              <w:rPr>
                <w:rFonts w:ascii="宋体" w:hAnsi="宋体" w:cs="Tahoma"/>
                <w:snapToGrid w:val="0"/>
                <w:kern w:val="0"/>
              </w:rPr>
            </w:pPr>
          </w:p>
        </w:tc>
        <w:tc>
          <w:tcPr>
            <w:tcW w:w="1515" w:type="dxa"/>
          </w:tcPr>
          <w:p>
            <w:pPr>
              <w:jc w:val="center"/>
              <w:rPr>
                <w:rFonts w:ascii="宋体" w:hAnsi="宋体" w:cs="Tahoma"/>
                <w:snapToGrid w:val="0"/>
                <w:kern w:val="0"/>
              </w:rPr>
            </w:pPr>
          </w:p>
        </w:tc>
        <w:tc>
          <w:tcPr>
            <w:tcW w:w="1515" w:type="dxa"/>
            <w:vAlign w:val="center"/>
          </w:tcPr>
          <w:p>
            <w:pPr>
              <w:jc w:val="center"/>
              <w:rPr>
                <w:rFonts w:ascii="宋体" w:hAnsi="宋体" w:cs="Tahoma"/>
                <w:snapToGrid w:val="0"/>
                <w:kern w:val="0"/>
              </w:rPr>
            </w:pPr>
          </w:p>
        </w:tc>
        <w:tc>
          <w:tcPr>
            <w:tcW w:w="1485" w:type="dxa"/>
            <w:vAlign w:val="center"/>
          </w:tcPr>
          <w:p>
            <w:pPr>
              <w:jc w:val="center"/>
              <w:rPr>
                <w:rFonts w:ascii="宋体" w:hAnsi="宋体" w:cs="Tahoma"/>
                <w:snapToGrid w:val="0"/>
                <w:kern w:val="0"/>
              </w:rPr>
            </w:pPr>
          </w:p>
        </w:tc>
        <w:tc>
          <w:tcPr>
            <w:tcW w:w="1843" w:type="dxa"/>
            <w:tcBorders>
              <w:right w:val="single" w:color="auto" w:sz="4" w:space="0"/>
            </w:tcBorders>
            <w:vAlign w:val="center"/>
          </w:tcPr>
          <w:p>
            <w:pPr>
              <w:jc w:val="center"/>
              <w:rPr>
                <w:rFonts w:ascii="宋体" w:hAnsi="宋体" w:cs="Tahoma"/>
                <w:snapToGrid w:val="0"/>
                <w:kern w:val="0"/>
              </w:rPr>
            </w:pPr>
          </w:p>
        </w:tc>
      </w:tr>
    </w:tbl>
    <w:p>
      <w:pPr>
        <w:rPr>
          <w:rFonts w:ascii="宋体" w:hAnsi="宋体"/>
          <w:snapToGrid w:val="0"/>
          <w:kern w:val="0"/>
        </w:rPr>
      </w:pPr>
    </w:p>
    <w:p>
      <w:pPr>
        <w:adjustRightInd w:val="0"/>
        <w:snapToGrid w:val="0"/>
        <w:spacing w:line="360" w:lineRule="auto"/>
        <w:rPr>
          <w:rFonts w:ascii="宋体" w:hAnsi="宋体" w:cs="Tahoma"/>
          <w:b/>
          <w:snapToGrid w:val="0"/>
          <w:kern w:val="0"/>
        </w:rPr>
      </w:pPr>
      <w:r>
        <w:rPr>
          <w:rFonts w:ascii="宋体" w:hAnsi="宋体" w:cs="Tahoma"/>
          <w:b/>
          <w:snapToGrid w:val="0"/>
          <w:kern w:val="0"/>
        </w:rPr>
        <w:t>本表附</w:t>
      </w:r>
      <w:r>
        <w:rPr>
          <w:rFonts w:hint="eastAsia" w:ascii="宋体" w:hAnsi="宋体" w:cs="Tahoma"/>
          <w:b/>
          <w:snapToGrid w:val="0"/>
          <w:kern w:val="0"/>
        </w:rPr>
        <w:t>相关</w:t>
      </w:r>
      <w:r>
        <w:rPr>
          <w:rFonts w:ascii="宋体" w:hAnsi="宋体" w:cs="Tahoma"/>
          <w:b/>
          <w:snapToGrid w:val="0"/>
          <w:kern w:val="0"/>
        </w:rPr>
        <w:t>证明材料复印件</w:t>
      </w:r>
      <w:r>
        <w:rPr>
          <w:rFonts w:hint="eastAsia" w:ascii="宋体" w:hAnsi="宋体" w:cs="Tahoma"/>
          <w:b/>
          <w:snapToGrid w:val="0"/>
          <w:kern w:val="0"/>
        </w:rPr>
        <w:t>，并加盖单位公章，否则不计分。</w:t>
      </w:r>
    </w:p>
    <w:p>
      <w:pPr>
        <w:adjustRightInd w:val="0"/>
        <w:snapToGrid w:val="0"/>
        <w:spacing w:line="360" w:lineRule="auto"/>
        <w:rPr>
          <w:rFonts w:ascii="宋体" w:hAnsi="宋体"/>
          <w:b/>
          <w:snapToGrid w:val="0"/>
          <w:kern w:val="0"/>
        </w:rPr>
      </w:pPr>
    </w:p>
    <w:p>
      <w:pPr>
        <w:tabs>
          <w:tab w:val="left" w:pos="1280"/>
        </w:tabs>
        <w:autoSpaceDE w:val="0"/>
        <w:autoSpaceDN w:val="0"/>
        <w:adjustRightInd w:val="0"/>
        <w:snapToGrid w:val="0"/>
        <w:spacing w:line="360" w:lineRule="auto"/>
        <w:rPr>
          <w:rFonts w:ascii="宋体" w:hAnsi="宋体"/>
          <w:snapToGrid w:val="0"/>
          <w:kern w:val="0"/>
          <w:lang w:val="zh-CN"/>
        </w:rPr>
      </w:pPr>
      <w:r>
        <w:rPr>
          <w:rFonts w:hint="eastAsia" w:ascii="宋体" w:hAnsi="宋体"/>
          <w:snapToGrid w:val="0"/>
          <w:kern w:val="0"/>
          <w:lang w:val="zh-CN"/>
        </w:rPr>
        <w:t xml:space="preserve">供应商：     （加盖公章）     </w:t>
      </w:r>
    </w:p>
    <w:p>
      <w:pPr>
        <w:tabs>
          <w:tab w:val="left" w:pos="1280"/>
        </w:tabs>
        <w:autoSpaceDE w:val="0"/>
        <w:autoSpaceDN w:val="0"/>
        <w:adjustRightInd w:val="0"/>
        <w:snapToGrid w:val="0"/>
        <w:spacing w:line="360" w:lineRule="auto"/>
        <w:rPr>
          <w:rFonts w:ascii="宋体" w:hAnsi="宋体"/>
          <w:snapToGrid w:val="0"/>
          <w:kern w:val="0"/>
          <w:lang w:val="zh-CN"/>
        </w:rPr>
      </w:pPr>
      <w:r>
        <w:rPr>
          <w:rFonts w:hint="eastAsia" w:ascii="宋体" w:hAnsi="宋体"/>
          <w:bCs/>
          <w:snapToGrid w:val="0"/>
          <w:kern w:val="0"/>
        </w:rPr>
        <w:t>法定代表人或法定代表人授权代表</w:t>
      </w:r>
      <w:r>
        <w:rPr>
          <w:rFonts w:hint="eastAsia" w:ascii="宋体" w:hAnsi="宋体"/>
          <w:snapToGrid w:val="0"/>
          <w:kern w:val="0"/>
          <w:lang w:val="zh-CN"/>
        </w:rPr>
        <w:t xml:space="preserve">：  （签字或盖章）             </w:t>
      </w:r>
    </w:p>
    <w:p>
      <w:pPr>
        <w:widowControl/>
        <w:jc w:val="center"/>
        <w:rPr>
          <w:rFonts w:ascii="宋体" w:hAnsi="宋体" w:cs="宋体"/>
          <w:b/>
          <w:bCs/>
          <w:color w:val="000000"/>
          <w:kern w:val="0"/>
          <w:sz w:val="28"/>
          <w:szCs w:val="28"/>
        </w:rPr>
      </w:pPr>
      <w:r>
        <w:rPr>
          <w:rFonts w:hint="eastAsia" w:ascii="宋体" w:hAnsi="宋体"/>
          <w:snapToGrid w:val="0"/>
          <w:kern w:val="0"/>
          <w:lang w:val="zh-CN"/>
        </w:rPr>
        <w:t>日期：</w:t>
      </w: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28"/>
        <w:ind w:firstLine="420"/>
        <w:rPr>
          <w:rFonts w:ascii="宋体" w:hAnsi="宋体" w:cs="宋体"/>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pStyle w:val="28"/>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spacing w:line="360" w:lineRule="auto"/>
        <w:ind w:firstLine="484" w:firstLineChars="202"/>
        <w:rPr>
          <w:rFonts w:ascii="仿宋" w:hAnsi="仿宋" w:eastAsia="仿宋" w:cs="仿宋"/>
          <w:sz w:val="24"/>
          <w:szCs w:val="28"/>
        </w:rPr>
      </w:pPr>
      <w:r>
        <w:rPr>
          <w:rFonts w:hint="eastAsia" w:ascii="仿宋" w:hAnsi="仿宋" w:eastAsia="仿宋" w:cs="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cs="仿宋"/>
          <w:sz w:val="24"/>
          <w:szCs w:val="28"/>
        </w:rPr>
      </w:pPr>
      <w:r>
        <w:rPr>
          <w:rFonts w:hint="eastAsia" w:ascii="仿宋" w:hAnsi="仿宋" w:eastAsia="仿宋" w:cs="仿宋"/>
          <w:sz w:val="24"/>
          <w:szCs w:val="28"/>
        </w:rPr>
        <w:t>（2）具有良好的商业信誉和健全的财务会计制度；</w:t>
      </w:r>
    </w:p>
    <w:p>
      <w:pPr>
        <w:pStyle w:val="7"/>
        <w:spacing w:line="360" w:lineRule="auto"/>
        <w:rPr>
          <w:rFonts w:ascii="仿宋" w:hAnsi="仿宋" w:eastAsia="仿宋" w:cs="仿宋"/>
          <w:sz w:val="24"/>
          <w:szCs w:val="28"/>
        </w:rPr>
      </w:pPr>
      <w:r>
        <w:rPr>
          <w:rFonts w:hint="eastAsia" w:ascii="仿宋" w:hAnsi="仿宋" w:eastAsia="仿宋" w:cs="仿宋"/>
          <w:sz w:val="24"/>
          <w:szCs w:val="28"/>
        </w:rPr>
        <w:t>（3）有依法缴纳税收和社会保障资金的良好记录（</w:t>
      </w:r>
      <w:r>
        <w:rPr>
          <w:rFonts w:hint="eastAsia" w:ascii="仿宋" w:hAnsi="仿宋" w:eastAsia="仿宋" w:cs="仿宋"/>
          <w:bCs/>
          <w:kern w:val="0"/>
        </w:rPr>
        <w:t>提供近三个月中任意一个月份</w:t>
      </w:r>
      <w:r>
        <w:rPr>
          <w:rFonts w:hint="eastAsia" w:ascii="仿宋" w:hAnsi="仿宋" w:eastAsia="仿宋" w:cs="仿宋"/>
          <w:kern w:val="0"/>
        </w:rPr>
        <w:t>(不含当月)</w:t>
      </w:r>
      <w:r>
        <w:rPr>
          <w:rFonts w:hint="eastAsia" w:ascii="仿宋" w:hAnsi="仿宋" w:eastAsia="仿宋" w:cs="仿宋"/>
          <w:bCs/>
          <w:kern w:val="0"/>
        </w:rPr>
        <w:t>完税证明及社保缴纳证明的有效复印件</w:t>
      </w:r>
      <w:r>
        <w:rPr>
          <w:rFonts w:hint="eastAsia" w:ascii="仿宋" w:hAnsi="仿宋" w:eastAsia="仿宋" w:cs="仿宋"/>
          <w:sz w:val="24"/>
          <w:szCs w:val="28"/>
        </w:rPr>
        <w:t>）；</w:t>
      </w:r>
    </w:p>
    <w:p>
      <w:pPr>
        <w:spacing w:line="360" w:lineRule="auto"/>
        <w:ind w:firstLine="484" w:firstLineChars="202"/>
        <w:rPr>
          <w:rFonts w:ascii="仿宋" w:hAnsi="仿宋" w:eastAsia="仿宋" w:cs="仿宋"/>
          <w:sz w:val="24"/>
          <w:szCs w:val="28"/>
        </w:rPr>
      </w:pPr>
      <w:r>
        <w:rPr>
          <w:rFonts w:hint="eastAsia" w:ascii="仿宋" w:hAnsi="仿宋" w:eastAsia="仿宋" w:cs="仿宋"/>
          <w:sz w:val="24"/>
          <w:szCs w:val="28"/>
        </w:rPr>
        <w:t>（4）参加政府采购活动前三年内，在经营活动中没有重大违法记录（提供承诺书）；</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8"/>
        <w:ind w:firstLine="0" w:firstLineChars="0"/>
        <w:rPr>
          <w:rFonts w:ascii="宋体" w:hAnsi="宋体" w:cs="宋体"/>
          <w:b/>
          <w:color w:val="000000"/>
          <w:kern w:val="0"/>
          <w:szCs w:val="21"/>
          <w:lang w:val="en-US"/>
        </w:rPr>
      </w:pPr>
    </w:p>
    <w:p>
      <w:pPr>
        <w:pStyle w:val="28"/>
        <w:ind w:firstLine="0" w:firstLineChars="0"/>
        <w:rPr>
          <w:rFonts w:ascii="宋体" w:hAnsi="宋体" w:cs="宋体"/>
          <w:b/>
          <w:color w:val="000000"/>
          <w:kern w:val="0"/>
          <w:szCs w:val="21"/>
          <w:lang w:val="en-US"/>
        </w:rPr>
      </w:pPr>
    </w:p>
    <w:p>
      <w:pPr>
        <w:pStyle w:val="28"/>
        <w:ind w:firstLine="0" w:firstLineChars="0"/>
        <w:rPr>
          <w:rFonts w:ascii="宋体" w:hAnsi="宋体" w:cs="宋体"/>
          <w:b/>
          <w:color w:val="000000"/>
          <w:kern w:val="0"/>
          <w:szCs w:val="21"/>
          <w:lang w:val="en-US"/>
        </w:rPr>
      </w:pPr>
    </w:p>
    <w:p>
      <w:pPr>
        <w:pStyle w:val="28"/>
        <w:ind w:firstLine="0" w:firstLineChars="0"/>
        <w:rPr>
          <w:rFonts w:ascii="宋体" w:hAnsi="宋体" w:cs="宋体"/>
          <w:b/>
          <w:color w:val="000000"/>
          <w:kern w:val="0"/>
          <w:szCs w:val="21"/>
          <w:lang w:val="en-US"/>
        </w:rPr>
      </w:pPr>
    </w:p>
    <w:p>
      <w:pPr>
        <w:pStyle w:val="28"/>
        <w:ind w:firstLine="0" w:firstLineChars="0"/>
        <w:rPr>
          <w:rFonts w:ascii="宋体" w:hAnsi="宋体" w:cs="宋体"/>
          <w:b/>
          <w:color w:val="000000"/>
          <w:kern w:val="0"/>
          <w:szCs w:val="21"/>
          <w:lang w:val="en-US"/>
        </w:rPr>
      </w:pPr>
    </w:p>
    <w:p>
      <w:pPr>
        <w:pStyle w:val="28"/>
        <w:ind w:firstLine="0" w:firstLineChars="0"/>
        <w:rPr>
          <w:rFonts w:ascii="宋体" w:hAnsi="宋体" w:cs="宋体"/>
          <w:b/>
          <w:color w:val="000000"/>
          <w:kern w:val="0"/>
          <w:szCs w:val="21"/>
          <w:lang w:val="en-US"/>
        </w:rPr>
      </w:pPr>
    </w:p>
    <w:p>
      <w:pPr>
        <w:pStyle w:val="28"/>
        <w:ind w:firstLine="0" w:firstLineChars="0"/>
        <w:rPr>
          <w:rFonts w:ascii="宋体" w:hAnsi="宋体" w:cs="宋体"/>
          <w:b/>
          <w:color w:val="000000"/>
          <w:kern w:val="0"/>
          <w:szCs w:val="21"/>
          <w:lang w:val="en-US"/>
        </w:rPr>
      </w:pPr>
    </w:p>
    <w:p>
      <w:pPr>
        <w:pStyle w:val="28"/>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附件九、</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tabs>
          <w:tab w:val="left" w:pos="1280"/>
        </w:tabs>
        <w:autoSpaceDE w:val="0"/>
        <w:autoSpaceDN w:val="0"/>
        <w:adjustRightInd w:val="0"/>
        <w:snapToGrid w:val="0"/>
        <w:spacing w:line="360" w:lineRule="auto"/>
        <w:rPr>
          <w:rFonts w:ascii="宋体" w:hAnsi="宋体"/>
          <w:snapToGrid w:val="0"/>
          <w:kern w:val="0"/>
          <w:lang w:val="zh-CN"/>
        </w:rPr>
      </w:pPr>
      <w:r>
        <w:rPr>
          <w:rFonts w:hint="eastAsia" w:ascii="宋体" w:hAnsi="宋体"/>
          <w:snapToGrid w:val="0"/>
          <w:kern w:val="0"/>
          <w:lang w:val="zh-CN"/>
        </w:rPr>
        <w:t xml:space="preserve">供应商：     （加盖公章）     </w:t>
      </w:r>
    </w:p>
    <w:p>
      <w:pPr>
        <w:tabs>
          <w:tab w:val="left" w:pos="1280"/>
        </w:tabs>
        <w:autoSpaceDE w:val="0"/>
        <w:autoSpaceDN w:val="0"/>
        <w:adjustRightInd w:val="0"/>
        <w:snapToGrid w:val="0"/>
        <w:spacing w:line="360" w:lineRule="auto"/>
        <w:rPr>
          <w:rFonts w:ascii="宋体" w:hAnsi="宋体"/>
          <w:snapToGrid w:val="0"/>
          <w:kern w:val="0"/>
          <w:lang w:val="zh-CN"/>
        </w:rPr>
      </w:pPr>
      <w:r>
        <w:rPr>
          <w:rFonts w:hint="eastAsia" w:ascii="宋体" w:hAnsi="宋体"/>
          <w:bCs/>
          <w:snapToGrid w:val="0"/>
          <w:kern w:val="0"/>
        </w:rPr>
        <w:t>法定代表人或法定代表人授权代表</w:t>
      </w:r>
      <w:r>
        <w:rPr>
          <w:rFonts w:hint="eastAsia" w:ascii="宋体" w:hAnsi="宋体"/>
          <w:snapToGrid w:val="0"/>
          <w:kern w:val="0"/>
          <w:lang w:val="zh-CN"/>
        </w:rPr>
        <w:t xml:space="preserve">：  （签字或盖章）             </w:t>
      </w:r>
    </w:p>
    <w:p>
      <w:pPr>
        <w:widowControl/>
        <w:jc w:val="center"/>
        <w:rPr>
          <w:rFonts w:ascii="宋体" w:hAnsi="宋体" w:cs="宋体"/>
          <w:b/>
          <w:bCs/>
          <w:color w:val="000000"/>
          <w:kern w:val="0"/>
          <w:sz w:val="28"/>
          <w:szCs w:val="28"/>
        </w:rPr>
      </w:pPr>
      <w:r>
        <w:rPr>
          <w:rFonts w:hint="eastAsia" w:ascii="宋体" w:hAnsi="宋体"/>
          <w:snapToGrid w:val="0"/>
          <w:kern w:val="0"/>
          <w:lang w:val="zh-CN"/>
        </w:rPr>
        <w:t>日期：</w:t>
      </w:r>
    </w:p>
    <w:p>
      <w:pPr>
        <w:pStyle w:val="28"/>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pStyle w:val="3"/>
        <w:widowControl/>
        <w:tabs>
          <w:tab w:val="left" w:pos="0"/>
          <w:tab w:val="left" w:pos="3165"/>
          <w:tab w:val="center" w:pos="4153"/>
        </w:tabs>
        <w:autoSpaceDE w:val="0"/>
        <w:autoSpaceDN w:val="0"/>
        <w:adjustRightInd w:val="0"/>
        <w:spacing w:line="360" w:lineRule="auto"/>
        <w:rPr>
          <w:rFonts w:hint="eastAsia" w:ascii="华文中宋" w:hAnsi="华文中宋" w:eastAsia="华文中宋"/>
          <w:sz w:val="32"/>
        </w:rPr>
      </w:pPr>
    </w:p>
    <w:p>
      <w:pPr>
        <w:rPr>
          <w:rFonts w:hint="eastAsia" w:ascii="华文中宋" w:hAnsi="华文中宋" w:eastAsia="华文中宋"/>
          <w:sz w:val="32"/>
        </w:rPr>
      </w:pPr>
    </w:p>
    <w:p>
      <w:pPr>
        <w:rPr>
          <w:rFonts w:hint="eastAsia" w:ascii="华文中宋" w:hAnsi="华文中宋" w:eastAsia="华文中宋"/>
          <w:sz w:val="32"/>
        </w:rPr>
      </w:pPr>
    </w:p>
    <w:p>
      <w:pPr>
        <w:pStyle w:val="3"/>
        <w:widowControl/>
        <w:tabs>
          <w:tab w:val="left" w:pos="0"/>
          <w:tab w:val="left" w:pos="3165"/>
          <w:tab w:val="center" w:pos="4153"/>
        </w:tabs>
        <w:autoSpaceDE w:val="0"/>
        <w:autoSpaceDN w:val="0"/>
        <w:adjustRightInd w:val="0"/>
        <w:spacing w:line="360" w:lineRule="auto"/>
        <w:jc w:val="center"/>
        <w:rPr>
          <w:rFonts w:ascii="仿宋" w:hAnsi="仿宋" w:eastAsia="仿宋"/>
          <w:sz w:val="24"/>
          <w:szCs w:val="28"/>
        </w:rPr>
      </w:pPr>
      <w:r>
        <w:rPr>
          <w:rFonts w:hint="eastAsia" w:ascii="华文中宋" w:hAnsi="华文中宋" w:eastAsia="华文中宋"/>
          <w:sz w:val="32"/>
        </w:rPr>
        <w:t>第四章 合同模板</w:t>
      </w:r>
      <w:r>
        <w:rPr>
          <w:rFonts w:hint="eastAsia" w:ascii="华文中宋" w:hAnsi="华文中宋" w:eastAsia="华文中宋"/>
          <w:sz w:val="32"/>
          <w:lang w:eastAsia="zh-CN"/>
        </w:rPr>
        <w:t>（</w:t>
      </w:r>
      <w:r>
        <w:rPr>
          <w:rFonts w:hint="eastAsia" w:ascii="华文中宋" w:hAnsi="华文中宋" w:eastAsia="华文中宋"/>
          <w:sz w:val="32"/>
          <w:lang w:val="en-US" w:eastAsia="zh-CN"/>
        </w:rPr>
        <w:t>参考</w:t>
      </w:r>
      <w:r>
        <w:rPr>
          <w:rFonts w:hint="eastAsia" w:ascii="华文中宋" w:hAnsi="华文中宋" w:eastAsia="华文中宋"/>
          <w:sz w:val="32"/>
          <w:lang w:eastAsia="zh-CN"/>
        </w:rPr>
        <w:t>）</w:t>
      </w:r>
    </w:p>
    <w:p>
      <w:pPr>
        <w:jc w:val="center"/>
        <w:rPr>
          <w:rFonts w:ascii="宋体" w:hAnsi="宋体" w:cs="宋体"/>
          <w:b/>
          <w:bCs/>
          <w:sz w:val="40"/>
          <w:szCs w:val="40"/>
        </w:rPr>
      </w:pPr>
      <w:r>
        <w:rPr>
          <w:rFonts w:hint="eastAsia" w:ascii="宋体" w:hAnsi="宋体" w:cs="宋体"/>
          <w:b/>
          <w:bCs/>
          <w:sz w:val="40"/>
          <w:szCs w:val="40"/>
        </w:rPr>
        <w:t>采购合同</w:t>
      </w:r>
    </w:p>
    <w:p>
      <w:pPr>
        <w:pStyle w:val="10"/>
        <w:ind w:left="1260"/>
      </w:pPr>
    </w:p>
    <w:tbl>
      <w:tblPr>
        <w:tblStyle w:val="23"/>
        <w:tblW w:w="8931" w:type="dxa"/>
        <w:tblInd w:w="-142" w:type="dxa"/>
        <w:tblLayout w:type="fixed"/>
        <w:tblCellMar>
          <w:top w:w="0" w:type="dxa"/>
          <w:left w:w="0" w:type="dxa"/>
          <w:bottom w:w="0" w:type="dxa"/>
          <w:right w:w="0" w:type="dxa"/>
        </w:tblCellMar>
      </w:tblPr>
      <w:tblGrid>
        <w:gridCol w:w="4447"/>
        <w:gridCol w:w="4484"/>
      </w:tblGrid>
      <w:tr>
        <w:tblPrEx>
          <w:tblCellMar>
            <w:top w:w="0" w:type="dxa"/>
            <w:left w:w="0" w:type="dxa"/>
            <w:bottom w:w="0" w:type="dxa"/>
            <w:right w:w="0" w:type="dxa"/>
          </w:tblCellMar>
        </w:tblPrEx>
        <w:tc>
          <w:tcPr>
            <w:tcW w:w="4447" w:type="dxa"/>
            <w:tcBorders>
              <w:top w:val="nil"/>
              <w:left w:val="nil"/>
              <w:bottom w:val="nil"/>
              <w:right w:val="nil"/>
            </w:tcBorders>
            <w:noWrap/>
            <w:vAlign w:val="top"/>
          </w:tcPr>
          <w:p>
            <w:pPr>
              <w:spacing w:line="500" w:lineRule="exact"/>
              <w:rPr>
                <w:color w:val="000000"/>
                <w:szCs w:val="21"/>
                <w:lang w:val="zh-CN"/>
              </w:rPr>
            </w:pPr>
            <w:r>
              <w:rPr>
                <w:rFonts w:hint="eastAsia" w:hAnsi="宋体"/>
                <w:color w:val="000000"/>
                <w:szCs w:val="21"/>
                <w:lang w:val="zh-CN"/>
              </w:rPr>
              <w:t xml:space="preserve">采购人（以下称甲方）南京市疾病预防控制中心 </w:t>
            </w:r>
          </w:p>
        </w:tc>
        <w:tc>
          <w:tcPr>
            <w:tcW w:w="4484" w:type="dxa"/>
            <w:tcBorders>
              <w:top w:val="nil"/>
              <w:left w:val="nil"/>
              <w:bottom w:val="nil"/>
              <w:right w:val="nil"/>
            </w:tcBorders>
            <w:noWrap/>
            <w:vAlign w:val="top"/>
          </w:tcPr>
          <w:p>
            <w:pPr>
              <w:autoSpaceDE w:val="0"/>
              <w:autoSpaceDN w:val="0"/>
              <w:adjustRightInd w:val="0"/>
              <w:spacing w:line="500" w:lineRule="exact"/>
              <w:jc w:val="left"/>
              <w:rPr>
                <w:rFonts w:hint="default" w:eastAsia="宋体"/>
                <w:color w:val="000000"/>
                <w:szCs w:val="21"/>
                <w:lang w:val="en-US" w:eastAsia="zh-CN"/>
              </w:rPr>
            </w:pPr>
            <w:r>
              <w:rPr>
                <w:rFonts w:hint="eastAsia" w:hAnsi="宋体"/>
                <w:color w:val="000000"/>
                <w:szCs w:val="21"/>
                <w:lang w:val="zh-CN"/>
              </w:rPr>
              <w:t>供应商：（以下称乙方）</w:t>
            </w:r>
            <w:r>
              <w:rPr>
                <w:rFonts w:hint="eastAsia" w:hAnsi="宋体"/>
                <w:color w:val="000000"/>
                <w:szCs w:val="21"/>
                <w:lang w:val="en-US" w:eastAsia="zh-CN"/>
              </w:rPr>
              <w:t xml:space="preserve"> </w:t>
            </w:r>
          </w:p>
        </w:tc>
      </w:tr>
      <w:tr>
        <w:tblPrEx>
          <w:tblCellMar>
            <w:top w:w="0" w:type="dxa"/>
            <w:left w:w="0" w:type="dxa"/>
            <w:bottom w:w="0" w:type="dxa"/>
            <w:right w:w="0" w:type="dxa"/>
          </w:tblCellMar>
        </w:tblPrEx>
        <w:tc>
          <w:tcPr>
            <w:tcW w:w="4447" w:type="dxa"/>
            <w:tcBorders>
              <w:top w:val="nil"/>
              <w:left w:val="nil"/>
              <w:bottom w:val="nil"/>
              <w:right w:val="nil"/>
            </w:tcBorders>
            <w:noWrap/>
            <w:vAlign w:val="top"/>
          </w:tcPr>
          <w:p>
            <w:pPr>
              <w:spacing w:line="500" w:lineRule="exact"/>
              <w:rPr>
                <w:rFonts w:hAnsi="宋体"/>
                <w:szCs w:val="21"/>
                <w:lang w:val="zh-CN"/>
              </w:rPr>
            </w:pPr>
            <w:r>
              <w:rPr>
                <w:rFonts w:hint="eastAsia" w:hAnsi="宋体"/>
                <w:szCs w:val="21"/>
                <w:lang w:val="zh-CN"/>
              </w:rPr>
              <w:t>住所地：南京市紫竹林</w:t>
            </w:r>
            <w:r>
              <w:rPr>
                <w:rFonts w:hAnsi="宋体"/>
                <w:szCs w:val="21"/>
                <w:lang w:val="zh-CN"/>
              </w:rPr>
              <w:t>2</w:t>
            </w:r>
            <w:r>
              <w:rPr>
                <w:rFonts w:hint="eastAsia" w:hAnsi="宋体"/>
                <w:szCs w:val="21"/>
                <w:lang w:val="zh-CN"/>
              </w:rPr>
              <w:t>号</w:t>
            </w:r>
          </w:p>
        </w:tc>
        <w:tc>
          <w:tcPr>
            <w:tcW w:w="4484" w:type="dxa"/>
            <w:tcBorders>
              <w:top w:val="nil"/>
              <w:left w:val="nil"/>
              <w:bottom w:val="nil"/>
              <w:right w:val="nil"/>
            </w:tcBorders>
            <w:noWrap/>
            <w:vAlign w:val="top"/>
          </w:tcPr>
          <w:p>
            <w:pPr>
              <w:autoSpaceDE w:val="0"/>
              <w:autoSpaceDN w:val="0"/>
              <w:adjustRightInd w:val="0"/>
              <w:spacing w:line="500" w:lineRule="exact"/>
              <w:jc w:val="left"/>
              <w:rPr>
                <w:rFonts w:hint="eastAsia" w:eastAsia="宋体"/>
                <w:szCs w:val="21"/>
                <w:lang w:eastAsia="zh-CN"/>
              </w:rPr>
            </w:pPr>
            <w:r>
              <w:rPr>
                <w:rFonts w:hint="eastAsia" w:hAnsi="宋体"/>
                <w:szCs w:val="21"/>
                <w:lang w:val="zh-CN"/>
              </w:rPr>
              <w:t>住所地：</w:t>
            </w:r>
            <w:r>
              <w:rPr>
                <w:rFonts w:hint="eastAsia" w:hAnsi="宋体"/>
                <w:szCs w:val="21"/>
                <w:lang w:val="en-US" w:eastAsia="zh-CN"/>
              </w:rPr>
              <w:t xml:space="preserve"> </w:t>
            </w:r>
          </w:p>
        </w:tc>
      </w:tr>
    </w:tbl>
    <w:p>
      <w:pPr>
        <w:pStyle w:val="13"/>
        <w:tabs>
          <w:tab w:val="left" w:pos="-235"/>
        </w:tabs>
        <w:autoSpaceDE w:val="0"/>
        <w:autoSpaceDN w:val="0"/>
        <w:adjustRightInd w:val="0"/>
        <w:spacing w:line="360" w:lineRule="auto"/>
        <w:ind w:firstLine="480" w:firstLineChars="200"/>
        <w:rPr>
          <w:rFonts w:hAnsi="宋体"/>
          <w:szCs w:val="21"/>
          <w:lang w:val="zh-CN"/>
        </w:rPr>
      </w:pPr>
      <w:r>
        <w:rPr>
          <w:rFonts w:hint="eastAsia" w:hAnsi="宋体"/>
          <w:szCs w:val="21"/>
          <w:lang w:val="zh-CN"/>
        </w:rPr>
        <w:t>一、说明：</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jc w:val="left"/>
        <w:textAlignment w:val="auto"/>
        <w:rPr>
          <w:rFonts w:hAnsi="宋体"/>
          <w:color w:val="000000"/>
          <w:szCs w:val="21"/>
          <w:lang w:val="zh-CN"/>
        </w:rPr>
      </w:pPr>
      <w:r>
        <w:rPr>
          <w:rFonts w:hint="eastAsia" w:hAnsi="宋体"/>
          <w:color w:val="000000"/>
          <w:szCs w:val="21"/>
          <w:lang w:val="zh-CN"/>
        </w:rPr>
        <w:t>20</w:t>
      </w:r>
      <w:r>
        <w:rPr>
          <w:rFonts w:hint="eastAsia" w:hAnsi="宋体"/>
          <w:color w:val="000000"/>
          <w:szCs w:val="21"/>
          <w:lang w:val="en-US" w:eastAsia="zh-CN"/>
        </w:rPr>
        <w:t>24</w:t>
      </w:r>
      <w:r>
        <w:rPr>
          <w:rFonts w:hint="eastAsia" w:hAnsi="宋体"/>
          <w:color w:val="000000"/>
          <w:szCs w:val="21"/>
          <w:lang w:val="zh-CN"/>
        </w:rPr>
        <w:t xml:space="preserve">年 </w:t>
      </w:r>
      <w:r>
        <w:rPr>
          <w:rFonts w:hint="eastAsia" w:hAnsi="宋体"/>
          <w:color w:val="000000"/>
          <w:szCs w:val="21"/>
          <w:lang w:val="en-US" w:eastAsia="zh-CN"/>
        </w:rPr>
        <w:t xml:space="preserve"> </w:t>
      </w:r>
      <w:r>
        <w:rPr>
          <w:rFonts w:hint="eastAsia" w:hAnsi="宋体"/>
          <w:color w:val="000000"/>
          <w:szCs w:val="21"/>
          <w:lang w:val="zh-CN"/>
        </w:rPr>
        <w:t xml:space="preserve"> 月 </w:t>
      </w:r>
      <w:r>
        <w:rPr>
          <w:rFonts w:hint="eastAsia" w:hAnsi="宋体"/>
          <w:color w:val="000000"/>
          <w:szCs w:val="21"/>
          <w:lang w:val="en-US" w:eastAsia="zh-CN"/>
        </w:rPr>
        <w:t xml:space="preserve"> </w:t>
      </w:r>
      <w:r>
        <w:rPr>
          <w:rFonts w:hint="eastAsia" w:hAnsi="宋体"/>
          <w:color w:val="000000"/>
          <w:szCs w:val="21"/>
          <w:lang w:val="zh-CN"/>
        </w:rPr>
        <w:t>日组织了南京市疾病预防控制中</w:t>
      </w:r>
      <w:r>
        <w:rPr>
          <w:rFonts w:hint="eastAsia" w:hAnsi="宋体"/>
          <w:color w:val="000000"/>
          <w:szCs w:val="21"/>
          <w:u w:val="single"/>
          <w:lang w:val="zh-CN"/>
        </w:rPr>
        <w:t>心</w:t>
      </w:r>
      <w:r>
        <w:rPr>
          <w:rFonts w:hint="eastAsia" w:hAnsi="宋体"/>
          <w:color w:val="000000"/>
          <w:szCs w:val="21"/>
          <w:u w:val="single"/>
          <w:lang w:val="en-US" w:eastAsia="zh-CN"/>
        </w:rPr>
        <w:t xml:space="preserve">                       </w:t>
      </w:r>
      <w:r>
        <w:rPr>
          <w:rFonts w:hint="eastAsia" w:hAnsi="宋体"/>
          <w:color w:val="000000"/>
          <w:szCs w:val="21"/>
          <w:lang w:val="zh-CN"/>
        </w:rPr>
        <w:t>项目的</w:t>
      </w:r>
      <w:r>
        <w:rPr>
          <w:rFonts w:hint="eastAsia" w:hAnsi="宋体"/>
          <w:color w:val="000000"/>
          <w:szCs w:val="21"/>
          <w:lang w:val="en-US" w:eastAsia="zh-CN"/>
        </w:rPr>
        <w:t>中心内部</w:t>
      </w:r>
      <w:r>
        <w:rPr>
          <w:rFonts w:hint="eastAsia" w:hAnsi="宋体"/>
          <w:color w:val="000000"/>
          <w:szCs w:val="21"/>
        </w:rPr>
        <w:t>采购</w:t>
      </w:r>
      <w:r>
        <w:rPr>
          <w:rFonts w:hint="eastAsia" w:hAnsi="宋体"/>
          <w:color w:val="000000"/>
          <w:szCs w:val="21"/>
          <w:lang w:val="zh-CN"/>
        </w:rPr>
        <w:t>，</w:t>
      </w:r>
      <w:r>
        <w:rPr>
          <w:rFonts w:hint="eastAsia" w:hAnsi="宋体"/>
          <w:color w:val="000000"/>
          <w:szCs w:val="21"/>
        </w:rPr>
        <w:t>项目名称：南京市疾病预防控制中心</w:t>
      </w:r>
      <w:r>
        <w:rPr>
          <w:rFonts w:hint="eastAsia" w:hAnsi="宋体"/>
          <w:color w:val="000000"/>
          <w:szCs w:val="21"/>
          <w:u w:val="single"/>
          <w:lang w:val="en-US" w:eastAsia="zh-CN"/>
        </w:rPr>
        <w:t xml:space="preserve">                       </w:t>
      </w:r>
      <w:r>
        <w:rPr>
          <w:rFonts w:hint="eastAsia" w:hAnsi="宋体"/>
          <w:color w:val="000000"/>
          <w:szCs w:val="21"/>
          <w:u w:val="single"/>
        </w:rPr>
        <w:t xml:space="preserve"> </w:t>
      </w:r>
      <w:r>
        <w:rPr>
          <w:rFonts w:hint="eastAsia" w:hAnsi="宋体"/>
          <w:color w:val="000000"/>
          <w:szCs w:val="21"/>
        </w:rPr>
        <w:t>，</w:t>
      </w:r>
      <w:r>
        <w:rPr>
          <w:rFonts w:hAnsi="宋体"/>
          <w:color w:val="000000"/>
          <w:szCs w:val="21"/>
          <w:lang w:val="zh-CN"/>
        </w:rPr>
        <w:t>经评委认真严格地评审，确定由</w:t>
      </w:r>
      <w:r>
        <w:rPr>
          <w:rFonts w:hint="eastAsia" w:hAnsi="宋体"/>
          <w:color w:val="000000"/>
          <w:szCs w:val="21"/>
          <w:lang w:val="zh-CN"/>
        </w:rPr>
        <w:t>该供应商</w:t>
      </w:r>
      <w:r>
        <w:rPr>
          <w:rFonts w:hAnsi="宋体"/>
          <w:color w:val="000000"/>
          <w:szCs w:val="21"/>
          <w:lang w:val="zh-CN"/>
        </w:rPr>
        <w:t>中标。</w:t>
      </w:r>
      <w:r>
        <w:rPr>
          <w:rFonts w:hint="eastAsia" w:ascii="宋体" w:hAnsi="宋体" w:cs="宋体"/>
        </w:rPr>
        <w:t>根据《中华人民共和国政府采购法》、《中华人民共和国民法典》、《财政部关于信息系统建设项目采购有关问题的通知》（财库</w:t>
      </w:r>
      <w:r>
        <w:rPr>
          <w:rFonts w:hint="eastAsia" w:ascii="仿宋_GB2312" w:hAnsi="仿宋_GB2312" w:eastAsia="仿宋_GB2312" w:cs="仿宋_GB2312"/>
        </w:rPr>
        <w:t>〔</w:t>
      </w:r>
      <w:r>
        <w:rPr>
          <w:rFonts w:hint="eastAsia" w:ascii="宋体" w:hAnsi="宋体" w:cs="宋体"/>
        </w:rPr>
        <w:t>2011</w:t>
      </w:r>
      <w:r>
        <w:rPr>
          <w:rFonts w:hint="eastAsia" w:ascii="仿宋_GB2312" w:hAnsi="仿宋_GB2312" w:eastAsia="仿宋_GB2312" w:cs="仿宋_GB2312"/>
        </w:rPr>
        <w:t>〕</w:t>
      </w:r>
      <w:r>
        <w:rPr>
          <w:rFonts w:hint="eastAsia" w:ascii="宋体" w:hAnsi="宋体" w:cs="宋体"/>
        </w:rPr>
        <w:t>59号）、《财政部信息化建设项目合同管理办法》、《中华人民共和国国家标准 GB./ T8566-2007：信息技术软件生存周期》等相关法律法规，甲乙双方经友好协商，共同签订本合同。</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一、合同标的</w:t>
      </w:r>
    </w:p>
    <w:p>
      <w:pPr>
        <w:pStyle w:val="8"/>
        <w:adjustRightInd w:val="0"/>
        <w:snapToGrid w:val="0"/>
        <w:ind w:left="420" w:leftChars="200"/>
        <w:jc w:val="left"/>
        <w:rPr>
          <w:rFonts w:ascii="宋体" w:hAnsi="宋体" w:cs="宋体"/>
          <w:sz w:val="21"/>
        </w:rPr>
      </w:pPr>
      <w:r>
        <w:rPr>
          <w:rFonts w:hint="eastAsia" w:ascii="宋体" w:hAnsi="宋体" w:cs="宋体"/>
          <w:sz w:val="21"/>
        </w:rPr>
        <w:t>1.乙方根据甲方需求提供下列货物：</w:t>
      </w:r>
      <w:r>
        <w:rPr>
          <w:rFonts w:hint="eastAsia" w:ascii="宋体" w:hAnsi="宋体" w:cs="宋体"/>
          <w:sz w:val="21"/>
          <w:u w:val="single"/>
        </w:rPr>
        <w:t>xxxxxx</w:t>
      </w:r>
      <w:r>
        <w:rPr>
          <w:rFonts w:hint="eastAsia" w:ascii="宋体" w:hAnsi="宋体" w:cs="宋体"/>
          <w:sz w:val="21"/>
        </w:rPr>
        <w:t>。</w:t>
      </w:r>
    </w:p>
    <w:p>
      <w:pPr>
        <w:tabs>
          <w:tab w:val="left" w:pos="993"/>
        </w:tabs>
        <w:adjustRightInd w:val="0"/>
        <w:snapToGrid w:val="0"/>
        <w:ind w:firstLine="420" w:firstLineChars="200"/>
        <w:jc w:val="left"/>
        <w:rPr>
          <w:rFonts w:ascii="宋体" w:hAnsi="宋体" w:cs="宋体"/>
        </w:rPr>
      </w:pPr>
      <w:r>
        <w:rPr>
          <w:rFonts w:hint="eastAsia" w:ascii="宋体" w:hAnsi="宋体" w:cs="宋体"/>
        </w:rPr>
        <w:t>2.货物详细清单（分项价表）：</w:t>
      </w:r>
    </w:p>
    <w:tbl>
      <w:tblPr>
        <w:tblStyle w:val="23"/>
        <w:tblW w:w="8192"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13"/>
        <w:gridCol w:w="788"/>
        <w:gridCol w:w="1101"/>
        <w:gridCol w:w="180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center"/>
              <w:rPr>
                <w:rFonts w:ascii="宋体" w:hAnsi="宋体" w:cs="宋体"/>
              </w:rPr>
            </w:pPr>
            <w:r>
              <w:rPr>
                <w:rFonts w:hint="eastAsia" w:ascii="宋体" w:hAnsi="宋体" w:cs="宋体"/>
              </w:rPr>
              <w:t>产品名称</w:t>
            </w:r>
          </w:p>
        </w:tc>
        <w:tc>
          <w:tcPr>
            <w:tcW w:w="1313" w:type="dxa"/>
            <w:vAlign w:val="center"/>
          </w:tcPr>
          <w:p>
            <w:pPr>
              <w:snapToGrid w:val="0"/>
              <w:jc w:val="center"/>
              <w:rPr>
                <w:rFonts w:ascii="宋体" w:hAnsi="宋体" w:cs="宋体"/>
              </w:rPr>
            </w:pPr>
            <w:r>
              <w:rPr>
                <w:rFonts w:hint="eastAsia" w:ascii="宋体" w:hAnsi="宋体" w:cs="宋体"/>
              </w:rPr>
              <w:t>品牌</w:t>
            </w:r>
          </w:p>
        </w:tc>
        <w:tc>
          <w:tcPr>
            <w:tcW w:w="788" w:type="dxa"/>
            <w:vAlign w:val="center"/>
          </w:tcPr>
          <w:p>
            <w:pPr>
              <w:snapToGrid w:val="0"/>
              <w:jc w:val="center"/>
              <w:rPr>
                <w:rFonts w:ascii="宋体" w:hAnsi="宋体" w:cs="宋体"/>
              </w:rPr>
            </w:pPr>
            <w:r>
              <w:rPr>
                <w:rFonts w:hint="eastAsia" w:ascii="宋体" w:hAnsi="宋体" w:cs="宋体"/>
              </w:rPr>
              <w:t>数量</w:t>
            </w:r>
          </w:p>
        </w:tc>
        <w:tc>
          <w:tcPr>
            <w:tcW w:w="1101" w:type="dxa"/>
            <w:vAlign w:val="center"/>
          </w:tcPr>
          <w:p>
            <w:pPr>
              <w:snapToGrid w:val="0"/>
              <w:jc w:val="center"/>
              <w:rPr>
                <w:rFonts w:ascii="宋体" w:hAnsi="宋体" w:cs="宋体"/>
              </w:rPr>
            </w:pPr>
            <w:r>
              <w:rPr>
                <w:rFonts w:hint="eastAsia" w:ascii="宋体" w:hAnsi="宋体" w:cs="宋体"/>
              </w:rPr>
              <w:t>单位</w:t>
            </w:r>
          </w:p>
        </w:tc>
        <w:tc>
          <w:tcPr>
            <w:tcW w:w="1803" w:type="dxa"/>
            <w:vAlign w:val="center"/>
          </w:tcPr>
          <w:p>
            <w:pPr>
              <w:snapToGrid w:val="0"/>
              <w:jc w:val="center"/>
              <w:rPr>
                <w:rFonts w:ascii="宋体" w:hAnsi="宋体" w:cs="宋体"/>
              </w:rPr>
            </w:pPr>
            <w:r>
              <w:rPr>
                <w:rFonts w:hint="eastAsia" w:ascii="宋体" w:hAnsi="宋体" w:cs="宋体"/>
              </w:rPr>
              <w:t>单价（元）</w:t>
            </w:r>
          </w:p>
        </w:tc>
        <w:tc>
          <w:tcPr>
            <w:tcW w:w="1464" w:type="dxa"/>
            <w:vAlign w:val="center"/>
          </w:tcPr>
          <w:p>
            <w:pPr>
              <w:snapToGrid w:val="0"/>
              <w:jc w:val="center"/>
              <w:rPr>
                <w:rFonts w:ascii="宋体" w:hAnsi="宋体" w:cs="宋体"/>
              </w:rPr>
            </w:pPr>
            <w:r>
              <w:rPr>
                <w:rFonts w:hint="eastAsia" w:ascii="宋体"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23" w:type="dxa"/>
            <w:vAlign w:val="center"/>
          </w:tcPr>
          <w:p>
            <w:pPr>
              <w:snapToGrid w:val="0"/>
              <w:jc w:val="center"/>
              <w:rPr>
                <w:rFonts w:ascii="宋体" w:hAnsi="宋体" w:cs="宋体"/>
              </w:rPr>
            </w:pPr>
            <w:r>
              <w:rPr>
                <w:rFonts w:hint="eastAsia" w:ascii="宋体" w:hAnsi="宋体" w:cs="宋体"/>
                <w:u w:val="single"/>
              </w:rPr>
              <w:t>xxxxxx</w:t>
            </w:r>
          </w:p>
        </w:tc>
        <w:tc>
          <w:tcPr>
            <w:tcW w:w="1313" w:type="dxa"/>
            <w:vAlign w:val="center"/>
          </w:tcPr>
          <w:p>
            <w:pPr>
              <w:snapToGrid w:val="0"/>
              <w:jc w:val="center"/>
              <w:rPr>
                <w:rFonts w:ascii="宋体" w:hAnsi="宋体" w:cs="宋体"/>
              </w:rPr>
            </w:pPr>
          </w:p>
        </w:tc>
        <w:tc>
          <w:tcPr>
            <w:tcW w:w="788" w:type="dxa"/>
            <w:vAlign w:val="center"/>
          </w:tcPr>
          <w:p>
            <w:pPr>
              <w:snapToGrid w:val="0"/>
              <w:jc w:val="center"/>
              <w:rPr>
                <w:rFonts w:ascii="宋体" w:hAnsi="宋体" w:cs="宋体"/>
              </w:rPr>
            </w:pPr>
            <w:r>
              <w:rPr>
                <w:rFonts w:hint="eastAsia" w:ascii="宋体" w:hAnsi="宋体" w:cs="宋体"/>
              </w:rPr>
              <w:t>1</w:t>
            </w:r>
          </w:p>
        </w:tc>
        <w:tc>
          <w:tcPr>
            <w:tcW w:w="1101" w:type="dxa"/>
            <w:vAlign w:val="center"/>
          </w:tcPr>
          <w:p>
            <w:pPr>
              <w:snapToGrid w:val="0"/>
              <w:jc w:val="center"/>
              <w:rPr>
                <w:rFonts w:ascii="宋体" w:hAnsi="宋体" w:cs="宋体"/>
              </w:rPr>
            </w:pPr>
            <w:r>
              <w:rPr>
                <w:rFonts w:hint="eastAsia" w:ascii="宋体" w:hAnsi="宋体" w:cs="宋体"/>
              </w:rPr>
              <w:t>套</w:t>
            </w:r>
          </w:p>
        </w:tc>
        <w:tc>
          <w:tcPr>
            <w:tcW w:w="1803" w:type="dxa"/>
            <w:vAlign w:val="center"/>
          </w:tcPr>
          <w:p>
            <w:pPr>
              <w:snapToGrid w:val="0"/>
              <w:jc w:val="center"/>
              <w:rPr>
                <w:rFonts w:ascii="宋体" w:hAnsi="宋体" w:cs="宋体"/>
              </w:rPr>
            </w:pPr>
          </w:p>
        </w:tc>
        <w:tc>
          <w:tcPr>
            <w:tcW w:w="1464" w:type="dxa"/>
            <w:vAlign w:val="center"/>
          </w:tcPr>
          <w:p>
            <w:pPr>
              <w:snapToGrid w:val="0"/>
              <w:jc w:val="center"/>
              <w:rPr>
                <w:rFonts w:ascii="宋体" w:hAnsi="宋体" w:cs="宋体"/>
              </w:rPr>
            </w:pPr>
          </w:p>
        </w:tc>
      </w:tr>
    </w:tbl>
    <w:p>
      <w:pPr>
        <w:pStyle w:val="8"/>
        <w:adjustRightInd w:val="0"/>
        <w:snapToGrid w:val="0"/>
        <w:ind w:left="420" w:leftChars="200"/>
        <w:jc w:val="left"/>
        <w:rPr>
          <w:rFonts w:ascii="宋体" w:hAnsi="宋体" w:cs="宋体"/>
          <w:sz w:val="21"/>
        </w:rPr>
      </w:pPr>
      <w:r>
        <w:rPr>
          <w:rFonts w:hint="eastAsia" w:ascii="宋体" w:hAnsi="宋体" w:cs="宋体"/>
          <w:sz w:val="21"/>
        </w:rPr>
        <w:t>说明：详细功能详见附件1《配置清单》。</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二、合同总价款</w:t>
      </w:r>
    </w:p>
    <w:p>
      <w:pPr>
        <w:pStyle w:val="8"/>
        <w:adjustRightInd w:val="0"/>
        <w:snapToGrid w:val="0"/>
        <w:ind w:firstLine="420" w:firstLineChars="200"/>
        <w:rPr>
          <w:rFonts w:ascii="宋体" w:hAnsi="宋体" w:cs="宋体"/>
          <w:sz w:val="21"/>
        </w:rPr>
      </w:pPr>
      <w:r>
        <w:rPr>
          <w:rFonts w:hint="eastAsia" w:ascii="宋体" w:hAnsi="宋体" w:cs="宋体"/>
          <w:sz w:val="21"/>
        </w:rPr>
        <w:t>1.本合同项下货物和服务总价款为人民币（大写）</w:t>
      </w:r>
      <w:r>
        <w:rPr>
          <w:rFonts w:hint="eastAsia" w:ascii="宋体" w:hAnsi="宋体" w:cs="宋体"/>
          <w:sz w:val="21"/>
          <w:u w:val="single"/>
        </w:rPr>
        <w:t xml:space="preserve">xxxxxx元整    </w:t>
      </w:r>
      <w:r>
        <w:rPr>
          <w:rFonts w:hint="eastAsia" w:ascii="宋体" w:hAnsi="宋体" w:cs="宋体"/>
          <w:sz w:val="21"/>
        </w:rPr>
        <w:t>元（含税）。</w:t>
      </w:r>
    </w:p>
    <w:p>
      <w:pPr>
        <w:pStyle w:val="8"/>
        <w:adjustRightInd w:val="0"/>
        <w:snapToGrid w:val="0"/>
        <w:ind w:firstLine="420" w:firstLineChars="200"/>
        <w:rPr>
          <w:rFonts w:ascii="宋体" w:hAnsi="宋体" w:cs="宋体"/>
          <w:sz w:val="21"/>
        </w:rPr>
      </w:pPr>
      <w:r>
        <w:rPr>
          <w:rFonts w:hint="eastAsia" w:ascii="宋体" w:hAnsi="宋体" w:cs="宋体"/>
          <w:sz w:val="21"/>
        </w:rPr>
        <w:t>2.</w:t>
      </w:r>
      <w:r>
        <w:rPr>
          <w:rFonts w:hint="eastAsia" w:ascii="宋体" w:hAnsi="宋体" w:cs="宋体"/>
          <w:sz w:val="21"/>
          <w:lang w:val="zh-CN"/>
        </w:rPr>
        <w:t>本合同总价款包含</w:t>
      </w:r>
      <w:r>
        <w:rPr>
          <w:rFonts w:hint="eastAsia" w:ascii="宋体" w:hAnsi="宋体" w:cs="宋体"/>
          <w:sz w:val="21"/>
        </w:rPr>
        <w:t>完成本项目发生的软、硬件产品及实施服务、系统对接、安装、调试、验收、运输、搬运、保险、移动端软件上线应用、材料及保修期内备品备件、专用工具、</w:t>
      </w:r>
      <w:r>
        <w:rPr>
          <w:rFonts w:hint="eastAsia" w:ascii="宋体" w:hAnsi="宋体" w:cs="宋体"/>
          <w:sz w:val="21"/>
          <w:lang w:val="zh-CN"/>
        </w:rPr>
        <w:t>技术资料、人员培训发生的所有含税费用</w:t>
      </w:r>
      <w:r>
        <w:rPr>
          <w:rFonts w:hint="eastAsia" w:ascii="宋体" w:hAnsi="宋体" w:cs="宋体"/>
          <w:sz w:val="21"/>
        </w:rPr>
        <w:t>、支付给员工的工资和国家强制缴纳的各种社会保障资金以及</w:t>
      </w:r>
      <w:bookmarkStart w:id="38" w:name="_Hlk79583289"/>
      <w:r>
        <w:rPr>
          <w:rFonts w:hint="eastAsia" w:ascii="宋体" w:hAnsi="宋体" w:cs="宋体"/>
          <w:sz w:val="21"/>
        </w:rPr>
        <w:t>其他完成本项目</w:t>
      </w:r>
      <w:bookmarkEnd w:id="38"/>
      <w:r>
        <w:rPr>
          <w:rFonts w:hint="eastAsia" w:ascii="宋体" w:hAnsi="宋体" w:cs="宋体"/>
          <w:sz w:val="21"/>
        </w:rPr>
        <w:t>需要的所有费用。</w:t>
      </w:r>
    </w:p>
    <w:p>
      <w:pPr>
        <w:pStyle w:val="8"/>
        <w:adjustRightInd w:val="0"/>
        <w:snapToGrid w:val="0"/>
        <w:ind w:firstLine="420" w:firstLineChars="200"/>
        <w:rPr>
          <w:rFonts w:ascii="宋体" w:hAnsi="宋体" w:cs="宋体"/>
          <w:sz w:val="21"/>
          <w:lang w:val="zh-CN"/>
        </w:rPr>
      </w:pPr>
      <w:r>
        <w:rPr>
          <w:rFonts w:hint="eastAsia" w:ascii="宋体" w:hAnsi="宋体" w:cs="宋体"/>
          <w:sz w:val="21"/>
        </w:rPr>
        <w:t>3.</w:t>
      </w:r>
      <w:r>
        <w:rPr>
          <w:rFonts w:hint="eastAsia" w:ascii="宋体" w:hAnsi="宋体" w:cs="宋体"/>
          <w:sz w:val="21"/>
          <w:lang w:val="zh-CN"/>
        </w:rPr>
        <w:t>本合同总价款还包含乙方应当提供的</w:t>
      </w:r>
      <w:r>
        <w:rPr>
          <w:rFonts w:hint="eastAsia" w:ascii="宋体" w:hAnsi="宋体" w:cs="宋体"/>
          <w:sz w:val="21"/>
          <w:lang w:val="en-US" w:eastAsia="zh-CN"/>
        </w:rPr>
        <w:t xml:space="preserve">   </w:t>
      </w:r>
      <w:r>
        <w:rPr>
          <w:rFonts w:hint="eastAsia" w:ascii="宋体" w:hAnsi="宋体" w:cs="宋体"/>
          <w:sz w:val="21"/>
          <w:lang w:val="zh-CN"/>
        </w:rPr>
        <w:t>年免费维护服务（自验收报告由甲方授权代表签字确认日起，开始进入免费维护期）。</w:t>
      </w:r>
      <w:bookmarkStart w:id="46" w:name="_GoBack"/>
      <w:bookmarkEnd w:id="46"/>
    </w:p>
    <w:p>
      <w:pPr>
        <w:pStyle w:val="8"/>
        <w:adjustRightInd w:val="0"/>
        <w:snapToGrid w:val="0"/>
        <w:ind w:firstLine="420" w:firstLineChars="200"/>
        <w:rPr>
          <w:rFonts w:ascii="宋体" w:hAnsi="宋体" w:cs="宋体"/>
          <w:sz w:val="21"/>
          <w:lang w:val="zh-CN"/>
        </w:rPr>
      </w:pPr>
      <w:r>
        <w:rPr>
          <w:rFonts w:hint="eastAsia" w:ascii="宋体" w:hAnsi="宋体" w:cs="宋体"/>
          <w:sz w:val="21"/>
        </w:rPr>
        <w:t>4.</w:t>
      </w:r>
      <w:r>
        <w:rPr>
          <w:rFonts w:hint="eastAsia" w:ascii="宋体" w:hAnsi="宋体" w:cs="宋体"/>
          <w:sz w:val="21"/>
          <w:lang w:val="zh-CN"/>
        </w:rPr>
        <w:t>本合同执行期间合同总价款不变。</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lang w:val="en-US" w:eastAsia="zh-CN"/>
        </w:rPr>
        <w:t>三</w:t>
      </w:r>
      <w:r>
        <w:rPr>
          <w:rFonts w:hint="eastAsia" w:ascii="宋体" w:hAnsi="宋体" w:cs="宋体"/>
          <w:b/>
          <w:sz w:val="28"/>
          <w:szCs w:val="28"/>
        </w:rPr>
        <w:t>、质量保证</w:t>
      </w:r>
    </w:p>
    <w:p>
      <w:pPr>
        <w:pStyle w:val="8"/>
        <w:adjustRightInd w:val="0"/>
        <w:snapToGrid w:val="0"/>
        <w:ind w:firstLine="420" w:firstLineChars="200"/>
        <w:rPr>
          <w:rFonts w:ascii="宋体" w:hAnsi="宋体" w:cs="宋体"/>
          <w:sz w:val="21"/>
          <w:highlight w:val="yellow"/>
        </w:rPr>
      </w:pPr>
      <w:r>
        <w:rPr>
          <w:rFonts w:hint="eastAsia" w:ascii="宋体" w:hAnsi="宋体" w:cs="宋体"/>
          <w:sz w:val="21"/>
        </w:rPr>
        <w:t>1.乙方所提供的货物和服务的技术规格应与采购文件规定的技术规格及竞争性磋商文件所附的“技术条款偏离表”相一致，并符合最新的国家标准、行业标准、法定职责、条例、规范以及政府及有关部门的特别要求。</w:t>
      </w:r>
    </w:p>
    <w:p>
      <w:pPr>
        <w:pStyle w:val="8"/>
        <w:adjustRightInd w:val="0"/>
        <w:snapToGrid w:val="0"/>
        <w:ind w:firstLine="420" w:firstLineChars="200"/>
        <w:rPr>
          <w:sz w:val="21"/>
        </w:rPr>
      </w:pPr>
      <w:r>
        <w:rPr>
          <w:rFonts w:hint="eastAsia" w:ascii="宋体" w:hAnsi="宋体" w:cs="宋体"/>
          <w:sz w:val="21"/>
        </w:rPr>
        <w:t>2.乙方提供的货物和服务质量应当符</w:t>
      </w:r>
      <w:r>
        <w:rPr>
          <w:rFonts w:hint="eastAsia"/>
          <w:sz w:val="21"/>
        </w:rPr>
        <w:t>合采购文件的约定，以及乙方的承诺，</w:t>
      </w:r>
      <w:r>
        <w:rPr>
          <w:rFonts w:hint="eastAsia" w:ascii="宋体" w:hAnsi="宋体" w:cs="宋体"/>
          <w:sz w:val="21"/>
        </w:rPr>
        <w:t>不得弄虚作假、不得提供假冒伪劣或任意提供合同外产品。</w:t>
      </w:r>
    </w:p>
    <w:p>
      <w:pPr>
        <w:pStyle w:val="8"/>
        <w:adjustRightInd w:val="0"/>
        <w:snapToGrid w:val="0"/>
        <w:ind w:firstLine="420" w:firstLineChars="200"/>
        <w:rPr>
          <w:rFonts w:ascii="宋体" w:hAnsi="宋体" w:cs="宋体"/>
          <w:sz w:val="21"/>
        </w:rPr>
      </w:pPr>
      <w:r>
        <w:rPr>
          <w:rFonts w:hint="eastAsia" w:ascii="宋体" w:hAnsi="宋体" w:cs="宋体"/>
          <w:sz w:val="21"/>
        </w:rPr>
        <w:t>3.</w:t>
      </w:r>
      <w:bookmarkStart w:id="39" w:name="_Hlk79410450"/>
      <w:r>
        <w:rPr>
          <w:rFonts w:hint="eastAsia" w:ascii="宋体" w:hAnsi="宋体" w:cs="宋体"/>
          <w:sz w:val="21"/>
        </w:rPr>
        <w:t>质量保证期</w:t>
      </w:r>
      <w:bookmarkEnd w:id="39"/>
      <w:r>
        <w:rPr>
          <w:rFonts w:hint="eastAsia" w:ascii="宋体" w:hAnsi="宋体" w:cs="宋体"/>
          <w:sz w:val="21"/>
        </w:rPr>
        <w:t>为自最终验收合格之日（验收报告由甲方授权代表签字确认日）起</w:t>
      </w:r>
      <w:r>
        <w:rPr>
          <w:rFonts w:hint="eastAsia" w:ascii="宋体" w:hAnsi="宋体" w:cs="宋体"/>
          <w:sz w:val="21"/>
          <w:u w:val="single"/>
        </w:rPr>
        <w:t xml:space="preserve"> 1  </w:t>
      </w:r>
      <w:r>
        <w:rPr>
          <w:rFonts w:hint="eastAsia" w:ascii="宋体" w:hAnsi="宋体" w:cs="宋体"/>
          <w:sz w:val="21"/>
        </w:rPr>
        <w:t>年，在此期间，乙方提供免费质保、维护服务。</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lang w:val="en-US" w:eastAsia="zh-CN"/>
        </w:rPr>
        <w:t>四</w:t>
      </w:r>
      <w:r>
        <w:rPr>
          <w:rFonts w:hint="eastAsia" w:ascii="宋体" w:hAnsi="宋体" w:cs="宋体"/>
          <w:b/>
          <w:sz w:val="28"/>
          <w:szCs w:val="28"/>
        </w:rPr>
        <w:t>、合同款支付</w:t>
      </w:r>
    </w:p>
    <w:p>
      <w:pPr>
        <w:pStyle w:val="8"/>
        <w:adjustRightInd w:val="0"/>
        <w:snapToGrid w:val="0"/>
        <w:ind w:firstLine="420" w:firstLineChars="200"/>
        <w:rPr>
          <w:rFonts w:ascii="宋体" w:hAnsi="宋体" w:cs="宋体"/>
          <w:sz w:val="21"/>
        </w:rPr>
      </w:pPr>
      <w:r>
        <w:rPr>
          <w:rFonts w:hint="eastAsia" w:ascii="宋体" w:hAnsi="宋体" w:cs="宋体"/>
          <w:sz w:val="21"/>
        </w:rPr>
        <w:t>1.本合同项下的采购资金由甲方支付，乙方向甲方开具合法票据，通过信函或当面送达甲方，甲方收到发票后【</w:t>
      </w:r>
      <w:r>
        <w:rPr>
          <w:rFonts w:hint="eastAsia" w:ascii="宋体" w:hAnsi="宋体" w:cs="宋体"/>
          <w:sz w:val="21"/>
          <w:lang w:val="en-US" w:eastAsia="zh-CN"/>
        </w:rPr>
        <w:t>60</w:t>
      </w:r>
      <w:r>
        <w:rPr>
          <w:rFonts w:hint="eastAsia" w:ascii="宋体" w:hAnsi="宋体" w:cs="宋体"/>
          <w:sz w:val="21"/>
        </w:rPr>
        <w:t>】天安排付款流程。发票不得由第三方代开，乙方未提供合法票据的，甲方有权拒绝支付合同款项，造成逾期付款等问题产生的损失由乙方承担。</w:t>
      </w:r>
    </w:p>
    <w:p>
      <w:pPr>
        <w:pStyle w:val="8"/>
        <w:adjustRightInd w:val="0"/>
        <w:snapToGrid w:val="0"/>
        <w:ind w:firstLine="420" w:firstLineChars="200"/>
        <w:rPr>
          <w:rFonts w:ascii="宋体" w:hAnsi="宋体" w:cs="宋体"/>
          <w:sz w:val="21"/>
        </w:rPr>
      </w:pPr>
      <w:r>
        <w:rPr>
          <w:rFonts w:hint="eastAsia" w:ascii="宋体" w:hAnsi="宋体" w:cs="宋体"/>
          <w:sz w:val="21"/>
        </w:rPr>
        <w:t>2.乙方开具的发票上的货物和技术服务名称须与合同所列示的内容完全一致，否则甲方有权拒收发票，由此引起的一切责任由乙方负责。</w:t>
      </w:r>
    </w:p>
    <w:p>
      <w:pPr>
        <w:widowControl/>
        <w:spacing w:line="360" w:lineRule="auto"/>
        <w:ind w:firstLine="420" w:firstLineChars="200"/>
        <w:jc w:val="left"/>
        <w:rPr>
          <w:rFonts w:ascii="仿宋" w:hAnsi="仿宋" w:eastAsia="仿宋" w:cs="宋体"/>
          <w:sz w:val="24"/>
          <w:szCs w:val="28"/>
        </w:rPr>
      </w:pPr>
      <w:r>
        <w:rPr>
          <w:rFonts w:hint="eastAsia" w:ascii="宋体" w:hAnsi="宋体" w:cs="宋体"/>
        </w:rPr>
        <w:t>3.付款条件：付款方式：硬件设备部署调试完毕，验收合格后，</w:t>
      </w:r>
      <w:r>
        <w:rPr>
          <w:rFonts w:hint="eastAsia" w:ascii="宋体" w:hAnsi="宋体" w:cs="宋体"/>
          <w:lang w:val="en-US" w:eastAsia="zh-CN"/>
        </w:rPr>
        <w:t>6</w:t>
      </w:r>
      <w:r>
        <w:rPr>
          <w:rFonts w:hint="eastAsia" w:ascii="宋体" w:hAnsi="宋体" w:cs="宋体"/>
        </w:rPr>
        <w:t>0日内甲方向乙方支付合同总额的100%。以上款项均为无息支付。</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、交付和验收</w:t>
      </w:r>
    </w:p>
    <w:p>
      <w:pPr>
        <w:pStyle w:val="8"/>
        <w:adjustRightInd w:val="0"/>
        <w:snapToGrid w:val="0"/>
        <w:ind w:firstLine="420" w:firstLineChars="200"/>
        <w:rPr>
          <w:rFonts w:ascii="宋体" w:hAnsi="宋体" w:cs="宋体"/>
          <w:sz w:val="21"/>
        </w:rPr>
      </w:pPr>
      <w:r>
        <w:rPr>
          <w:rFonts w:hint="eastAsia" w:ascii="宋体" w:hAnsi="宋体" w:cs="宋体"/>
          <w:sz w:val="21"/>
        </w:rPr>
        <w:t>1.合同签订后,乙方应根据项目的总体时间安排，制定详细进度计划，进度计划应覆盖项目实施各阶段的所有工作，并按照下列时间节点完成相应的项目交付工作：</w:t>
      </w:r>
    </w:p>
    <w:p>
      <w:pPr>
        <w:pStyle w:val="8"/>
        <w:adjustRightInd w:val="0"/>
        <w:snapToGrid w:val="0"/>
        <w:ind w:firstLine="1050" w:firstLineChars="500"/>
        <w:rPr>
          <w:rFonts w:ascii="宋体" w:hAnsi="宋体" w:cs="宋体"/>
          <w:sz w:val="21"/>
        </w:rPr>
      </w:pPr>
      <w:r>
        <w:rPr>
          <w:rFonts w:hint="eastAsia" w:ascii="宋体" w:hAnsi="宋体" w:cs="宋体"/>
          <w:sz w:val="21"/>
        </w:rPr>
        <w:t>年  月  日前完成项目部署调试、最终验收、进行交付。</w:t>
      </w:r>
    </w:p>
    <w:p>
      <w:pPr>
        <w:pStyle w:val="8"/>
        <w:adjustRightInd w:val="0"/>
        <w:snapToGrid w:val="0"/>
        <w:ind w:firstLine="420" w:firstLineChars="200"/>
        <w:rPr>
          <w:rFonts w:ascii="宋体" w:hAnsi="宋体" w:cs="宋体"/>
          <w:sz w:val="21"/>
        </w:rPr>
      </w:pPr>
      <w:r>
        <w:rPr>
          <w:rFonts w:hint="eastAsia" w:ascii="宋体" w:hAnsi="宋体" w:cs="宋体"/>
          <w:sz w:val="21"/>
        </w:rPr>
        <w:t>2.甲方对项目进度进行调整时，乙方应服从并相应调整详细进度计划。但是，甲方对项目内容作出重大变更调整时，应当交由乙方书面同意确认后生效，并且甲方对项目采购需求的重大调整应当在本项目第一阶段安装调试前结束。</w:t>
      </w:r>
    </w:p>
    <w:p>
      <w:pPr>
        <w:pStyle w:val="8"/>
        <w:adjustRightInd w:val="0"/>
        <w:snapToGrid w:val="0"/>
        <w:ind w:firstLine="420" w:firstLineChars="200"/>
        <w:rPr>
          <w:rFonts w:ascii="宋体" w:hAnsi="宋体" w:cs="宋体"/>
          <w:sz w:val="21"/>
        </w:rPr>
      </w:pPr>
      <w:r>
        <w:rPr>
          <w:rFonts w:hint="eastAsia" w:ascii="宋体" w:hAnsi="宋体" w:cs="宋体"/>
          <w:sz w:val="21"/>
        </w:rPr>
        <w:t>3.乙方交付的货物和服务应当完全符合本合同或者采购、竞争性磋商文件所规定的数量和规格总体设计、项目实施及售后服务达到功能及性能的设计要求。包括但不限于：负责信息化项目建设的设备材料、软件等开发和供应；负责信息化项目建设的二次开发；负责信息化项目建设的安装调试;负责信息化项目建设的质量控制;负责信息化项目建设的进度管理;负责信息化项目建设的施工安全;配合信息化项目建设的验收管理;负责信息化项目平台建设的培训;负责信息化项目平台建设的售后服务管理;定期向甲方提交项目阶段性工作报告等。乙方提供的货物和服务不符合竞争性磋商文件、响应文件和合同规定的，甲方有权拒收，由此引起的风险，由乙方承担。</w:t>
      </w:r>
    </w:p>
    <w:p>
      <w:pPr>
        <w:pStyle w:val="8"/>
        <w:adjustRightInd w:val="0"/>
        <w:snapToGrid w:val="0"/>
        <w:ind w:firstLine="420" w:firstLineChars="200"/>
        <w:rPr>
          <w:rFonts w:ascii="宋体" w:hAnsi="宋体" w:cs="宋体"/>
          <w:sz w:val="21"/>
        </w:rPr>
      </w:pPr>
      <w:r>
        <w:rPr>
          <w:rFonts w:hint="eastAsia" w:ascii="宋体" w:hAnsi="宋体" w:cs="宋体"/>
          <w:sz w:val="21"/>
        </w:rPr>
        <w:t>4.交付地点：甲方指定地点。</w:t>
      </w:r>
    </w:p>
    <w:p>
      <w:pPr>
        <w:pStyle w:val="8"/>
        <w:adjustRightInd w:val="0"/>
        <w:snapToGrid w:val="0"/>
        <w:ind w:firstLine="420" w:firstLineChars="200"/>
        <w:rPr>
          <w:rFonts w:ascii="宋体" w:hAnsi="宋体" w:cs="宋体"/>
          <w:sz w:val="21"/>
        </w:rPr>
      </w:pPr>
      <w:r>
        <w:rPr>
          <w:rFonts w:hint="eastAsia" w:ascii="宋体" w:hAnsi="宋体" w:cs="宋体"/>
          <w:sz w:val="21"/>
        </w:rPr>
        <w:t>5.甲方可以邀请参加本项目的其他供应商或第三方专业机构及专家参与验收，验收标准详见附件3：《验收标准》。</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七、售后服务</w:t>
      </w:r>
    </w:p>
    <w:p>
      <w:pPr>
        <w:pStyle w:val="8"/>
        <w:adjustRightInd w:val="0"/>
        <w:snapToGrid w:val="0"/>
        <w:ind w:firstLine="420" w:firstLineChars="200"/>
        <w:rPr>
          <w:rFonts w:ascii="宋体" w:hAnsi="宋体" w:cs="宋体"/>
          <w:sz w:val="21"/>
        </w:rPr>
      </w:pPr>
      <w:r>
        <w:rPr>
          <w:rFonts w:hint="eastAsia" w:ascii="宋体" w:hAnsi="宋体" w:cs="宋体"/>
          <w:sz w:val="21"/>
        </w:rPr>
        <w:t>1.乙方应按照国家有关法律法规规章规定以及采购、竞争性磋商文件所规定的“服务承诺”提供服务。</w:t>
      </w:r>
    </w:p>
    <w:p>
      <w:pPr>
        <w:pStyle w:val="8"/>
        <w:adjustRightInd w:val="0"/>
        <w:snapToGrid w:val="0"/>
        <w:ind w:firstLine="420" w:firstLineChars="200"/>
        <w:rPr>
          <w:rFonts w:ascii="宋体" w:hAnsi="宋体" w:cs="宋体"/>
          <w:sz w:val="21"/>
        </w:rPr>
      </w:pPr>
      <w:r>
        <w:rPr>
          <w:rFonts w:hint="eastAsia" w:ascii="宋体" w:hAnsi="宋体" w:cs="宋体"/>
          <w:sz w:val="21"/>
        </w:rPr>
        <w:t>2.除前款规定外，乙方还应提供下列服务：</w:t>
      </w:r>
    </w:p>
    <w:p>
      <w:pPr>
        <w:pStyle w:val="8"/>
        <w:adjustRightInd w:val="0"/>
        <w:snapToGrid w:val="0"/>
        <w:ind w:firstLine="420" w:firstLineChars="200"/>
        <w:rPr>
          <w:rFonts w:ascii="宋体" w:hAnsi="宋体" w:cs="宋体"/>
          <w:sz w:val="21"/>
        </w:rPr>
      </w:pPr>
      <w:r>
        <w:rPr>
          <w:rFonts w:hint="eastAsia" w:ascii="宋体" w:hAnsi="宋体" w:cs="宋体"/>
          <w:sz w:val="21"/>
        </w:rPr>
        <w:t>（1）质量保证期内乙方提供专人负责本项目并提供7</w:t>
      </w:r>
      <w:r>
        <w:rPr>
          <w:rFonts w:ascii="Arial" w:hAnsi="Arial" w:cs="Arial"/>
          <w:sz w:val="21"/>
        </w:rPr>
        <w:t>×</w:t>
      </w:r>
      <w:r>
        <w:rPr>
          <w:rFonts w:hint="eastAsia" w:ascii="宋体" w:hAnsi="宋体" w:cs="宋体"/>
          <w:sz w:val="21"/>
        </w:rPr>
        <w:t>24小时技术服务和免费上门维护服务，质保费用计入总价，但不可抗力（如火灾、雷击等）造成的故障除外。。</w:t>
      </w:r>
    </w:p>
    <w:p>
      <w:pPr>
        <w:pStyle w:val="8"/>
        <w:adjustRightInd w:val="0"/>
        <w:snapToGrid w:val="0"/>
        <w:ind w:firstLine="420" w:firstLineChars="200"/>
        <w:rPr>
          <w:rFonts w:ascii="宋体" w:hAnsi="宋体" w:cs="宋体"/>
          <w:sz w:val="21"/>
        </w:rPr>
      </w:pPr>
      <w:r>
        <w:rPr>
          <w:rFonts w:hint="eastAsia" w:ascii="宋体" w:hAnsi="宋体" w:cs="宋体"/>
          <w:sz w:val="21"/>
        </w:rPr>
        <w:t>（2）乙方在接到甲方报修电话后</w:t>
      </w:r>
      <w:r>
        <w:rPr>
          <w:rFonts w:hint="eastAsia" w:ascii="宋体" w:hAnsi="宋体" w:cs="宋体"/>
          <w:sz w:val="21"/>
          <w:u w:val="single"/>
        </w:rPr>
        <w:t xml:space="preserve"> 1</w:t>
      </w:r>
      <w:r>
        <w:rPr>
          <w:rFonts w:ascii="宋体" w:hAnsi="宋体" w:cs="宋体"/>
          <w:sz w:val="21"/>
          <w:u w:val="single"/>
        </w:rPr>
        <w:t>5</w:t>
      </w:r>
      <w:r>
        <w:rPr>
          <w:rFonts w:hint="eastAsia" w:ascii="宋体" w:hAnsi="宋体" w:cs="宋体"/>
          <w:sz w:val="21"/>
          <w:u w:val="single"/>
        </w:rPr>
        <w:t>分钟</w:t>
      </w:r>
      <w:r>
        <w:rPr>
          <w:rFonts w:hint="eastAsia" w:ascii="宋体" w:hAnsi="宋体" w:cs="宋体"/>
          <w:sz w:val="21"/>
        </w:rPr>
        <w:t>响应，</w:t>
      </w:r>
      <w:r>
        <w:rPr>
          <w:rFonts w:ascii="宋体" w:hAnsi="宋体" w:cs="宋体"/>
          <w:sz w:val="21"/>
          <w:u w:val="single"/>
        </w:rPr>
        <w:t>1</w:t>
      </w:r>
      <w:r>
        <w:rPr>
          <w:rFonts w:hint="eastAsia" w:ascii="宋体" w:hAnsi="宋体" w:cs="宋体"/>
          <w:sz w:val="21"/>
          <w:u w:val="single"/>
        </w:rPr>
        <w:t xml:space="preserve">小时 </w:t>
      </w:r>
      <w:r>
        <w:rPr>
          <w:rFonts w:hint="eastAsia" w:ascii="宋体" w:hAnsi="宋体" w:cs="宋体"/>
          <w:sz w:val="21"/>
        </w:rPr>
        <w:t>内到达现场，小型故障恢复时间为</w:t>
      </w:r>
      <w:r>
        <w:rPr>
          <w:rFonts w:hint="eastAsia" w:ascii="宋体" w:hAnsi="宋体" w:cs="宋体"/>
          <w:sz w:val="21"/>
          <w:u w:val="single"/>
        </w:rPr>
        <w:t xml:space="preserve"> 4小时 </w:t>
      </w:r>
      <w:r>
        <w:rPr>
          <w:rFonts w:hint="eastAsia" w:ascii="宋体" w:hAnsi="宋体" w:cs="宋体"/>
          <w:sz w:val="21"/>
        </w:rPr>
        <w:t>内，严重故障恢复时间为</w:t>
      </w:r>
      <w:r>
        <w:rPr>
          <w:rFonts w:hint="eastAsia" w:ascii="宋体" w:hAnsi="宋体" w:cs="宋体"/>
          <w:sz w:val="21"/>
          <w:u w:val="single"/>
        </w:rPr>
        <w:t xml:space="preserve"> 24小时 </w:t>
      </w:r>
      <w:r>
        <w:rPr>
          <w:rFonts w:hint="eastAsia" w:ascii="宋体" w:hAnsi="宋体" w:cs="宋体"/>
          <w:sz w:val="21"/>
        </w:rPr>
        <w:t>内，否则甲方可自行采取必要的措施，由此产生的风险和费用由乙方承担。如有特殊情况，乙方应立即电话通知甲方不能响应的原因，在获得甲方同意后，才可推迟响应时间。</w:t>
      </w:r>
    </w:p>
    <w:p>
      <w:pPr>
        <w:pStyle w:val="8"/>
        <w:adjustRightInd w:val="0"/>
        <w:snapToGrid w:val="0"/>
        <w:ind w:firstLine="420" w:firstLineChars="200"/>
        <w:rPr>
          <w:rFonts w:ascii="宋体" w:hAnsi="宋体" w:cs="宋体"/>
          <w:sz w:val="21"/>
        </w:rPr>
      </w:pPr>
      <w:r>
        <w:rPr>
          <w:rFonts w:hint="eastAsia" w:ascii="宋体" w:hAnsi="宋体" w:cs="宋体"/>
          <w:sz w:val="21"/>
        </w:rPr>
        <w:t>（3）质量保证期内乙方应每年至少提供</w:t>
      </w:r>
      <w:r>
        <w:rPr>
          <w:rFonts w:hint="eastAsia" w:ascii="宋体" w:hAnsi="宋体" w:cs="宋体"/>
          <w:sz w:val="21"/>
          <w:u w:val="single"/>
        </w:rPr>
        <w:t xml:space="preserve"> 4 </w:t>
      </w:r>
      <w:r>
        <w:rPr>
          <w:rFonts w:hint="eastAsia" w:ascii="宋体" w:hAnsi="宋体" w:cs="宋体"/>
          <w:sz w:val="21"/>
        </w:rPr>
        <w:t>次定期维护。质保记录应经甲方负责人签字确认并留有书面记录备查，质量保证期内，若乙方未按质保要求进行质保服务或缺少巡检质保记录，乙方须向甲方支付违约金</w:t>
      </w:r>
      <w:r>
        <w:rPr>
          <w:rFonts w:hint="eastAsia" w:ascii="宋体" w:hAnsi="宋体" w:cs="宋体"/>
          <w:sz w:val="21"/>
          <w:u w:val="single"/>
        </w:rPr>
        <w:t>1000</w:t>
      </w:r>
      <w:r>
        <w:rPr>
          <w:rFonts w:hint="eastAsia" w:ascii="宋体" w:hAnsi="宋体" w:cs="宋体"/>
          <w:sz w:val="21"/>
        </w:rPr>
        <w:t>元/次。</w:t>
      </w:r>
    </w:p>
    <w:p>
      <w:pPr>
        <w:pStyle w:val="8"/>
        <w:adjustRightInd w:val="0"/>
        <w:snapToGrid w:val="0"/>
        <w:ind w:firstLine="420" w:firstLineChars="200"/>
        <w:rPr>
          <w:rFonts w:ascii="宋体" w:hAnsi="宋体" w:cs="宋体"/>
          <w:sz w:val="21"/>
        </w:rPr>
      </w:pPr>
      <w:r>
        <w:rPr>
          <w:rFonts w:hint="eastAsia" w:ascii="宋体" w:hAnsi="宋体" w:cs="宋体"/>
          <w:sz w:val="21"/>
        </w:rPr>
        <w:t>（4）无论在质量保证期内还是质量保证期外，乙方工程师按照甲方指定的方式或指定地点进行维护，必须做好维保记录，包括但不限于：服务人员出入记录、服务开始时间、服务结束时间、服务人员姓名、服务人数、服务地点、服务内容、服务结果等。否则引起的一切责任由乙方负责。</w:t>
      </w:r>
    </w:p>
    <w:p>
      <w:pPr>
        <w:pStyle w:val="8"/>
        <w:adjustRightInd w:val="0"/>
        <w:snapToGrid w:val="0"/>
        <w:ind w:firstLine="420" w:firstLineChars="200"/>
        <w:rPr>
          <w:rFonts w:ascii="宋体" w:hAnsi="宋体" w:cs="宋体"/>
          <w:sz w:val="21"/>
        </w:rPr>
      </w:pPr>
      <w:r>
        <w:rPr>
          <w:rFonts w:hint="eastAsia" w:ascii="宋体" w:hAnsi="宋体" w:cs="宋体"/>
          <w:sz w:val="21"/>
        </w:rPr>
        <w:t>（5）质量保证期内乙方对甲方提出的合理优化建议应提供免费软件升级服务，保证软件为最新、最高版本。</w:t>
      </w:r>
    </w:p>
    <w:p>
      <w:pPr>
        <w:pStyle w:val="10"/>
        <w:ind w:left="0" w:leftChars="0" w:firstLine="420" w:firstLineChars="200"/>
        <w:rPr>
          <w:rFonts w:ascii="宋体" w:hAnsi="宋体" w:cs="宋体"/>
        </w:rPr>
      </w:pPr>
      <w:r>
        <w:rPr>
          <w:rFonts w:hint="eastAsia" w:ascii="宋体" w:hAnsi="宋体" w:cs="宋体"/>
        </w:rPr>
        <w:t>（6）若货物故障在检修8工作小时后仍无法排除，乙方应在48小时内免费提供不低于故障货物规格型号档次的备用货物供甲方使用，直至故障货物修复。同时乙方承担货物因需要返厂维修而产生运输、搬运等相关费用。</w:t>
      </w:r>
    </w:p>
    <w:p>
      <w:pPr>
        <w:pStyle w:val="10"/>
        <w:ind w:left="0" w:leftChars="0" w:firstLine="420" w:firstLineChars="200"/>
        <w:rPr>
          <w:rFonts w:ascii="宋体" w:hAnsi="宋体" w:cs="宋体"/>
        </w:rPr>
      </w:pPr>
      <w:r>
        <w:rPr>
          <w:rFonts w:hint="eastAsia" w:ascii="宋体" w:hAnsi="宋体" w:cs="宋体"/>
        </w:rPr>
        <w:t>（7）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r>
        <w:rPr>
          <w:rFonts w:hint="eastAsia"/>
        </w:rPr>
        <w:t xml:space="preserve">    （8）保修期后的货物和平台维护由双方协商再定。</w:t>
      </w:r>
    </w:p>
    <w:p>
      <w:pPr>
        <w:ind w:firstLine="420" w:firstLineChars="200"/>
      </w:pPr>
      <w:r>
        <w:rPr>
          <w:rFonts w:hint="eastAsia"/>
        </w:rPr>
        <w:t>（9）因甲方后续升级、优化本合同约定管理平台系统或是增加管理平台系统模块等工作，而依法选定的服务供应商不是乙方，乙方需无条件配合相关工作，配合工作包括但不限于提供软件代码、配合数据迁移。</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八、权利与义务</w:t>
      </w:r>
    </w:p>
    <w:p>
      <w:pPr>
        <w:ind w:firstLine="422" w:firstLineChars="200"/>
        <w:rPr>
          <w:b/>
          <w:bCs/>
        </w:rPr>
      </w:pPr>
      <w:r>
        <w:rPr>
          <w:rFonts w:hint="eastAsia"/>
          <w:b/>
          <w:bCs/>
        </w:rPr>
        <w:t>（一） 甲方的权利与义务</w:t>
      </w:r>
    </w:p>
    <w:p>
      <w:pPr>
        <w:pStyle w:val="8"/>
        <w:adjustRightInd w:val="0"/>
        <w:snapToGrid w:val="0"/>
        <w:ind w:firstLine="420" w:firstLineChars="200"/>
        <w:rPr>
          <w:rFonts w:ascii="宋体" w:hAnsi="宋体" w:cs="宋体"/>
          <w:sz w:val="21"/>
        </w:rPr>
      </w:pPr>
      <w:r>
        <w:rPr>
          <w:rFonts w:hint="eastAsia" w:ascii="宋体" w:hAnsi="宋体" w:cs="宋体"/>
          <w:sz w:val="21"/>
        </w:rPr>
        <w:t>1.按本合同约定方式及时向乙方支付采购费用。</w:t>
      </w:r>
    </w:p>
    <w:p>
      <w:pPr>
        <w:pStyle w:val="8"/>
        <w:adjustRightInd w:val="0"/>
        <w:snapToGrid w:val="0"/>
        <w:ind w:firstLine="420" w:firstLineChars="200"/>
        <w:rPr>
          <w:rFonts w:ascii="宋体" w:hAnsi="宋体" w:cs="宋体"/>
          <w:sz w:val="21"/>
        </w:rPr>
      </w:pPr>
      <w:r>
        <w:rPr>
          <w:rFonts w:hint="eastAsia" w:ascii="宋体" w:hAnsi="宋体" w:cs="宋体"/>
          <w:sz w:val="21"/>
        </w:rPr>
        <w:t>2.如果本项目中定制开发的软件，所有权和知识产权归甲方所有。</w:t>
      </w:r>
    </w:p>
    <w:p>
      <w:pPr>
        <w:pStyle w:val="8"/>
        <w:adjustRightInd w:val="0"/>
        <w:snapToGrid w:val="0"/>
        <w:ind w:firstLine="420" w:firstLineChars="200"/>
        <w:rPr>
          <w:rFonts w:ascii="宋体" w:hAnsi="宋体" w:cs="宋体"/>
          <w:sz w:val="21"/>
        </w:rPr>
      </w:pPr>
      <w:r>
        <w:rPr>
          <w:rFonts w:ascii="宋体" w:hAnsi="宋体" w:cs="宋体"/>
          <w:sz w:val="21"/>
        </w:rPr>
        <w:t>3</w:t>
      </w:r>
      <w:r>
        <w:rPr>
          <w:rFonts w:hint="eastAsia" w:ascii="宋体" w:hAnsi="宋体" w:cs="宋体"/>
          <w:sz w:val="21"/>
        </w:rPr>
        <w:t>.享有本合同中采购软、硬件系统的所有权和使用权。除有特别约定外，乙方按本合同规定向甲方提供的所有技术文档、技术成果属甲乙双方共同所有，甲方保证该技术成果未经乙方同意不转让给第三方。</w:t>
      </w:r>
    </w:p>
    <w:p>
      <w:pPr>
        <w:pStyle w:val="8"/>
        <w:adjustRightInd w:val="0"/>
        <w:snapToGrid w:val="0"/>
        <w:ind w:firstLine="420" w:firstLineChars="200"/>
        <w:rPr>
          <w:rFonts w:ascii="宋体" w:hAnsi="宋体" w:cs="宋体"/>
          <w:sz w:val="21"/>
        </w:rPr>
      </w:pPr>
      <w:r>
        <w:rPr>
          <w:rFonts w:ascii="宋体" w:hAnsi="宋体" w:cs="宋体"/>
          <w:sz w:val="21"/>
        </w:rPr>
        <w:t>4</w:t>
      </w:r>
      <w:r>
        <w:rPr>
          <w:rFonts w:hint="eastAsia" w:ascii="宋体" w:hAnsi="宋体" w:cs="宋体"/>
          <w:sz w:val="21"/>
        </w:rPr>
        <w:t>.本项目产生的所有数据成果的知识产权归甲方所有，除数据成果和有特别约之外的其它自主开发软件的知识产权归甲乙双方共同所有，今后双方在此基础上的进一步研发成果的运用需征得合同双方的书面同意，但甲方进一步研发成果用于自用的除外。</w:t>
      </w:r>
    </w:p>
    <w:p>
      <w:pPr>
        <w:pStyle w:val="8"/>
        <w:adjustRightInd w:val="0"/>
        <w:snapToGrid w:val="0"/>
        <w:ind w:firstLine="420" w:firstLineChars="200"/>
        <w:rPr>
          <w:rFonts w:ascii="宋体" w:hAnsi="宋体" w:cs="宋体"/>
          <w:sz w:val="21"/>
        </w:rPr>
      </w:pPr>
      <w:r>
        <w:rPr>
          <w:rFonts w:ascii="宋体" w:hAnsi="宋体" w:cs="宋体"/>
          <w:sz w:val="21"/>
        </w:rPr>
        <w:t>5</w:t>
      </w:r>
      <w:r>
        <w:rPr>
          <w:rFonts w:hint="eastAsia" w:ascii="宋体" w:hAnsi="宋体" w:cs="宋体"/>
          <w:sz w:val="21"/>
        </w:rPr>
        <w:t>.及时组织验收并与乙方共同签署接收单、验收报告、合格证书等相关单据。</w:t>
      </w:r>
    </w:p>
    <w:p>
      <w:pPr>
        <w:pStyle w:val="8"/>
        <w:adjustRightInd w:val="0"/>
        <w:snapToGrid w:val="0"/>
        <w:ind w:firstLine="420" w:firstLineChars="200"/>
        <w:rPr>
          <w:rFonts w:ascii="宋体" w:hAnsi="宋体" w:cs="宋体"/>
          <w:sz w:val="21"/>
        </w:rPr>
      </w:pPr>
      <w:r>
        <w:rPr>
          <w:rFonts w:ascii="宋体" w:hAnsi="宋体" w:cs="宋体"/>
          <w:sz w:val="21"/>
        </w:rPr>
        <w:t>6</w:t>
      </w:r>
      <w:r>
        <w:rPr>
          <w:rFonts w:hint="eastAsia" w:ascii="宋体" w:hAnsi="宋体" w:cs="宋体"/>
          <w:sz w:val="21"/>
        </w:rPr>
        <w:t>.提供必要的业务人员和技术人员配合需求分析、软件开发、系统测试、系统上线工作。</w:t>
      </w:r>
    </w:p>
    <w:p>
      <w:pPr>
        <w:pStyle w:val="8"/>
        <w:adjustRightInd w:val="0"/>
        <w:snapToGrid w:val="0"/>
        <w:ind w:firstLine="420" w:firstLineChars="200"/>
        <w:rPr>
          <w:rFonts w:ascii="宋体" w:hAnsi="宋体" w:cs="宋体"/>
          <w:sz w:val="21"/>
        </w:rPr>
      </w:pPr>
      <w:r>
        <w:rPr>
          <w:rFonts w:ascii="宋体" w:hAnsi="宋体" w:cs="宋体"/>
          <w:sz w:val="21"/>
        </w:rPr>
        <w:t>7</w:t>
      </w:r>
      <w:r>
        <w:rPr>
          <w:rFonts w:hint="eastAsia" w:ascii="宋体" w:hAnsi="宋体" w:cs="宋体"/>
          <w:sz w:val="21"/>
        </w:rPr>
        <w:t>.负责组织对项目进度、项目质量、合同执行监督检查，负责技术架构的问题处理，设计变更的签证，项目中间验收、进度付款</w:t>
      </w:r>
      <w:r>
        <w:rPr>
          <w:rFonts w:hint="eastAsia" w:ascii="宋体" w:hAnsi="宋体" w:cs="宋体"/>
          <w:color w:val="000000"/>
          <w:sz w:val="21"/>
        </w:rPr>
        <w:t>支付审核签证等。</w:t>
      </w:r>
    </w:p>
    <w:p>
      <w:pPr>
        <w:pStyle w:val="8"/>
        <w:adjustRightInd w:val="0"/>
        <w:snapToGrid w:val="0"/>
        <w:ind w:firstLine="420" w:firstLineChars="200"/>
        <w:rPr>
          <w:rFonts w:ascii="宋体" w:hAnsi="宋体" w:cs="宋体"/>
          <w:sz w:val="21"/>
        </w:rPr>
      </w:pPr>
      <w:r>
        <w:rPr>
          <w:rFonts w:ascii="宋体" w:hAnsi="宋体" w:cs="宋体"/>
          <w:sz w:val="21"/>
        </w:rPr>
        <w:t>8</w:t>
      </w:r>
      <w:r>
        <w:rPr>
          <w:rFonts w:hint="eastAsia" w:ascii="宋体" w:hAnsi="宋体" w:cs="宋体"/>
          <w:sz w:val="21"/>
        </w:rPr>
        <w:t>.享有本项目功能、方案、设备确认及需求变更的决定权。</w:t>
      </w:r>
    </w:p>
    <w:p>
      <w:pPr>
        <w:ind w:firstLine="422" w:firstLineChars="200"/>
        <w:rPr>
          <w:b/>
          <w:bCs/>
        </w:rPr>
      </w:pPr>
      <w:r>
        <w:rPr>
          <w:rFonts w:hint="eastAsia"/>
          <w:b/>
          <w:bCs/>
        </w:rPr>
        <w:t>（二）乙方的权利与义务</w:t>
      </w:r>
    </w:p>
    <w:p>
      <w:pPr>
        <w:pStyle w:val="8"/>
        <w:adjustRightInd w:val="0"/>
        <w:snapToGrid w:val="0"/>
        <w:ind w:firstLine="420" w:firstLineChars="200"/>
        <w:rPr>
          <w:rFonts w:ascii="宋体" w:hAnsi="宋体" w:cs="宋体"/>
          <w:sz w:val="21"/>
        </w:rPr>
      </w:pPr>
      <w:r>
        <w:rPr>
          <w:rFonts w:hint="eastAsia" w:ascii="宋体" w:hAnsi="宋体" w:cs="宋体"/>
          <w:sz w:val="21"/>
        </w:rPr>
        <w:t>1.负责并承担采购过程中的所有报价风险。本合同一经签订，乙方任何原因导致的报价漏项、缺项等的后果均由乙方自行承担。</w:t>
      </w:r>
    </w:p>
    <w:p>
      <w:pPr>
        <w:pStyle w:val="8"/>
        <w:adjustRightInd w:val="0"/>
        <w:snapToGrid w:val="0"/>
        <w:ind w:firstLine="420" w:firstLineChars="200"/>
        <w:rPr>
          <w:rFonts w:ascii="宋体" w:hAnsi="宋体" w:cs="宋体"/>
          <w:sz w:val="21"/>
        </w:rPr>
      </w:pPr>
      <w:r>
        <w:rPr>
          <w:rFonts w:hint="eastAsia" w:ascii="宋体" w:hAnsi="宋体" w:cs="宋体"/>
          <w:sz w:val="21"/>
        </w:rPr>
        <w:t>2.应在项目实施过程中无条件向甲方提供完整的相关实施文档及技术资料，包括该项目软件的全部源代码和技术文档（含质量保证期内的后续升级版本）等技术资料，以及《用户手册》、《项目实施计划》、《培训手册》等。</w:t>
      </w:r>
    </w:p>
    <w:p>
      <w:pPr>
        <w:pStyle w:val="8"/>
        <w:adjustRightInd w:val="0"/>
        <w:snapToGrid w:val="0"/>
        <w:ind w:firstLine="420" w:firstLineChars="200"/>
        <w:rPr>
          <w:rFonts w:ascii="宋体" w:hAnsi="宋体" w:cs="宋体"/>
          <w:sz w:val="21"/>
        </w:rPr>
      </w:pPr>
      <w:r>
        <w:rPr>
          <w:rFonts w:hint="eastAsia" w:ascii="宋体" w:hAnsi="宋体" w:cs="宋体"/>
          <w:sz w:val="21"/>
        </w:rPr>
        <w:t>3.至少提前三天将货物到货时间通知甲方联系人，以便甲方安排好相关收货工作。产品到达甲方单位时，乙方代表必须随即到达，由乙方负责卸货并搬运至甲方指定的地点并进行安装调试。服从甲方的规章制度和现场管理，并按照合同要求办理相关资产到货签收手续，未办理验收交接手续前，相关资产的风险由乙方承担。</w:t>
      </w:r>
    </w:p>
    <w:p>
      <w:pPr>
        <w:pStyle w:val="8"/>
        <w:adjustRightInd w:val="0"/>
        <w:snapToGrid w:val="0"/>
        <w:ind w:firstLine="420" w:firstLineChars="200"/>
        <w:rPr>
          <w:rFonts w:ascii="宋体" w:hAnsi="宋体" w:cs="宋体"/>
          <w:sz w:val="21"/>
        </w:rPr>
      </w:pPr>
      <w:r>
        <w:rPr>
          <w:rFonts w:hint="eastAsia" w:ascii="宋体" w:hAnsi="宋体" w:cs="宋体"/>
          <w:sz w:val="21"/>
        </w:rPr>
        <w:t>4.完善安全质量保证措施，乙方自行承担其履行合同过程产生的所有费用及造成任何财产和人身损失的责任。</w:t>
      </w:r>
    </w:p>
    <w:p>
      <w:pPr>
        <w:pStyle w:val="8"/>
        <w:tabs>
          <w:tab w:val="left" w:pos="142"/>
        </w:tabs>
        <w:adjustRightInd w:val="0"/>
        <w:snapToGrid w:val="0"/>
        <w:ind w:firstLine="420" w:firstLineChars="200"/>
        <w:rPr>
          <w:rFonts w:ascii="宋体" w:hAnsi="宋体" w:cs="宋体"/>
          <w:sz w:val="21"/>
        </w:rPr>
      </w:pPr>
      <w:r>
        <w:rPr>
          <w:rFonts w:hint="eastAsia" w:ascii="宋体" w:hAnsi="宋体" w:cs="宋体"/>
          <w:sz w:val="21"/>
        </w:rPr>
        <w:t>5.乙方及乙方所有员工必须履行安全责任义务，按规范流程提供服务。如因乙方及其员工安全责任或义务履行不到位，引起甲方或合同外其他方人身伤害、机器损毁以及财产损失等，由乙方承担一切后果及责任，包括但不限于赔偿责任及由此对甲方、合同外其他方造成的影响等。</w:t>
      </w:r>
    </w:p>
    <w:p>
      <w:pPr>
        <w:pStyle w:val="8"/>
        <w:adjustRightInd w:val="0"/>
        <w:snapToGrid w:val="0"/>
        <w:ind w:firstLine="420" w:firstLineChars="200"/>
        <w:rPr>
          <w:rFonts w:ascii="宋体" w:hAnsi="宋体" w:cs="宋体"/>
          <w:sz w:val="21"/>
        </w:rPr>
      </w:pPr>
      <w:r>
        <w:rPr>
          <w:rFonts w:hint="eastAsia" w:ascii="宋体" w:hAnsi="宋体" w:cs="宋体"/>
          <w:sz w:val="21"/>
        </w:rPr>
        <w:t>6.乙方保证提供的货物和服务（包括完成本项目需要配备的其他软件产品或组件）不存在任何法律纠纷，且甲方在使用该商品或服务以及其中的任何一部分时，不侵犯任何的专利权、商标权、著作权、工业设计权或其他知识产权，如受到来自第三方的侵权诉讼或索赔，所有责任及由此造成的损失由乙方承担，造成甲方损失的，乙方应全额赔偿；导致甲方产生律师费、交通费、差旅费等费用的，应由乙方承担。</w:t>
      </w:r>
    </w:p>
    <w:p>
      <w:pPr>
        <w:pStyle w:val="8"/>
        <w:adjustRightInd w:val="0"/>
        <w:snapToGrid w:val="0"/>
        <w:ind w:firstLine="420" w:firstLineChars="200"/>
        <w:rPr>
          <w:rFonts w:ascii="宋体" w:hAnsi="宋体" w:cs="宋体"/>
          <w:sz w:val="21"/>
        </w:rPr>
      </w:pPr>
      <w:r>
        <w:rPr>
          <w:rFonts w:hint="eastAsia" w:ascii="宋体" w:hAnsi="宋体" w:cs="宋体"/>
          <w:sz w:val="21"/>
        </w:rPr>
        <w:t>7.乙方保证完成本项目需要配备的其他软件产品或组件时，包括乙方自主知识产权的产品，乙方须向甲方作出详细说明，并列出软件产品的详细清单，包括产品名称、功能、用途、供应商、用户数、质量保证期等，并承诺对这些产品提供与本合同项下的软件系统同样的服务。乙方须保证为本项目提供的软件系统以及上述配套产品和组件的总体性能和功能，符合最新的法定职责、条例、规范以及政府有关部门的特别要求。</w:t>
      </w:r>
    </w:p>
    <w:p>
      <w:pPr>
        <w:pStyle w:val="8"/>
        <w:adjustRightInd w:val="0"/>
        <w:snapToGrid w:val="0"/>
        <w:ind w:firstLine="420" w:firstLineChars="200"/>
        <w:rPr>
          <w:rFonts w:ascii="宋体" w:hAnsi="宋体" w:cs="宋体"/>
          <w:sz w:val="21"/>
        </w:rPr>
      </w:pPr>
      <w:r>
        <w:rPr>
          <w:rFonts w:hint="eastAsia" w:ascii="宋体" w:hAnsi="宋体" w:cs="宋体"/>
          <w:sz w:val="21"/>
        </w:rPr>
        <w:t>8.乙方向甲方提供系统的技术培训和支持。</w:t>
      </w:r>
    </w:p>
    <w:p>
      <w:pPr>
        <w:pStyle w:val="8"/>
        <w:adjustRightInd w:val="0"/>
        <w:snapToGrid w:val="0"/>
        <w:ind w:firstLine="420" w:firstLineChars="200"/>
        <w:rPr>
          <w:rFonts w:ascii="宋体" w:hAnsi="宋体" w:cs="宋体"/>
          <w:sz w:val="21"/>
        </w:rPr>
      </w:pPr>
      <w:r>
        <w:rPr>
          <w:rFonts w:hint="eastAsia" w:ascii="宋体" w:hAnsi="宋体" w:cs="宋体"/>
          <w:sz w:val="21"/>
        </w:rPr>
        <w:t>9.乙方在验收时提供相应技术资料。</w:t>
      </w:r>
    </w:p>
    <w:p>
      <w:pPr>
        <w:pStyle w:val="8"/>
        <w:adjustRightInd w:val="0"/>
        <w:snapToGrid w:val="0"/>
        <w:ind w:firstLine="420" w:firstLineChars="200"/>
        <w:rPr>
          <w:rFonts w:ascii="宋体" w:hAnsi="宋体" w:cs="宋体"/>
          <w:sz w:val="21"/>
        </w:rPr>
      </w:pPr>
      <w:r>
        <w:rPr>
          <w:rFonts w:hint="eastAsia" w:ascii="宋体" w:hAnsi="宋体" w:cs="宋体"/>
          <w:sz w:val="21"/>
        </w:rPr>
        <w:t>10.乙方不得向任何合同外其他方转让、委托、出让、分包、抵押或以其他任何方式处置其在本协议项目下的所有或任何权利或义务。乙方违反本条款规定做出的转让、委托、出让、分包、抵押或以其他任何方式处置行为均无效且无法律效力。</w:t>
      </w:r>
    </w:p>
    <w:p>
      <w:pPr>
        <w:pStyle w:val="8"/>
        <w:adjustRightInd w:val="0"/>
        <w:snapToGrid w:val="0"/>
        <w:ind w:firstLine="420" w:firstLineChars="200"/>
        <w:rPr>
          <w:rFonts w:ascii="宋体" w:hAnsi="宋体" w:cs="宋体"/>
          <w:color w:val="000000"/>
          <w:sz w:val="21"/>
        </w:rPr>
      </w:pPr>
      <w:r>
        <w:rPr>
          <w:rFonts w:hint="eastAsia" w:ascii="宋体" w:hAnsi="宋体" w:cs="宋体"/>
          <w:sz w:val="21"/>
        </w:rPr>
        <w:t>11.乙方在货物和服务未完全交付甲方之前，乙方需负责已完工项目的保护工作，保护期间发生损坏，乙方自费予以修复。如乙方保护措施不到位，造成甲方</w:t>
      </w:r>
      <w:r>
        <w:rPr>
          <w:rFonts w:hint="eastAsia" w:ascii="宋体" w:hAnsi="宋体" w:cs="宋体"/>
          <w:color w:val="000000"/>
          <w:sz w:val="21"/>
        </w:rPr>
        <w:t>数据及设备等任何财产损失的，乙方负责照价赔偿及数据修复。</w:t>
      </w:r>
    </w:p>
    <w:p>
      <w:pPr>
        <w:pStyle w:val="8"/>
        <w:adjustRightInd w:val="0"/>
        <w:snapToGrid w:val="0"/>
        <w:ind w:firstLine="420" w:firstLineChars="200"/>
        <w:rPr>
          <w:rFonts w:ascii="宋体" w:hAnsi="宋体" w:cs="宋体"/>
          <w:color w:val="000000"/>
          <w:sz w:val="21"/>
        </w:rPr>
      </w:pPr>
      <w:r>
        <w:rPr>
          <w:rFonts w:hint="eastAsia" w:ascii="宋体" w:hAnsi="宋体" w:cs="宋体"/>
          <w:color w:val="000000"/>
          <w:sz w:val="21"/>
        </w:rPr>
        <w:t>12.乙方应免费提供本合同项下的软、硬件系统与甲方其他系统的集成对接服务，并配合甲方的相关评级改造需求。</w:t>
      </w:r>
    </w:p>
    <w:p>
      <w:pPr>
        <w:pStyle w:val="8"/>
        <w:adjustRightInd w:val="0"/>
        <w:snapToGrid w:val="0"/>
        <w:ind w:firstLine="420" w:firstLineChars="200"/>
        <w:rPr>
          <w:rFonts w:ascii="宋体" w:hAnsi="宋体" w:cs="宋体"/>
          <w:color w:val="000000"/>
          <w:sz w:val="21"/>
        </w:rPr>
      </w:pPr>
      <w:r>
        <w:rPr>
          <w:rFonts w:hint="eastAsia" w:ascii="宋体" w:hAnsi="宋体" w:cs="宋体"/>
          <w:color w:val="000000"/>
          <w:sz w:val="21"/>
        </w:rPr>
        <w:t>13.终验前完成在招标文件范围内的全部个性化修改，质量保证期经双方协商修改个别个性化需求。</w:t>
      </w:r>
    </w:p>
    <w:p>
      <w:pPr>
        <w:pStyle w:val="8"/>
        <w:adjustRightInd w:val="0"/>
        <w:snapToGrid w:val="0"/>
        <w:ind w:firstLine="420" w:firstLineChars="200"/>
        <w:rPr>
          <w:rFonts w:ascii="宋体" w:hAnsi="宋体" w:cs="宋体"/>
          <w:color w:val="000000"/>
          <w:sz w:val="21"/>
        </w:rPr>
      </w:pPr>
      <w:r>
        <w:rPr>
          <w:rFonts w:hint="eastAsia" w:ascii="宋体" w:hAnsi="宋体" w:cs="宋体"/>
          <w:color w:val="000000"/>
          <w:sz w:val="21"/>
        </w:rPr>
        <w:t>14.如甲方需要对货物和服务的数量进行增加时，乙方应以不高于竞争性磋商响应文件最终报价的优惠幅度提供给甲方。</w:t>
      </w:r>
    </w:p>
    <w:p>
      <w:pPr>
        <w:pStyle w:val="8"/>
        <w:adjustRightInd w:val="0"/>
        <w:snapToGrid w:val="0"/>
        <w:ind w:firstLine="420" w:firstLineChars="200"/>
        <w:rPr>
          <w:rFonts w:ascii="宋体" w:hAnsi="宋体" w:cs="宋体"/>
          <w:color w:val="000000"/>
          <w:sz w:val="21"/>
        </w:rPr>
      </w:pPr>
      <w:r>
        <w:rPr>
          <w:rFonts w:ascii="宋体" w:hAnsi="宋体" w:cs="宋体"/>
          <w:color w:val="000000"/>
          <w:sz w:val="21"/>
        </w:rPr>
        <w:t>1</w:t>
      </w:r>
      <w:r>
        <w:rPr>
          <w:rFonts w:hint="eastAsia" w:ascii="宋体" w:hAnsi="宋体" w:cs="宋体"/>
          <w:color w:val="000000"/>
          <w:sz w:val="21"/>
        </w:rPr>
        <w:t>5.</w:t>
      </w:r>
      <w:r>
        <w:rPr>
          <w:rFonts w:ascii="宋体" w:hAnsi="宋体" w:cs="宋体"/>
          <w:color w:val="000000"/>
          <w:sz w:val="21"/>
        </w:rPr>
        <w:t>乙方须无条件接受甲方及相关部门的审计、监督和延伸审计。</w:t>
      </w:r>
    </w:p>
    <w:p>
      <w:pPr>
        <w:tabs>
          <w:tab w:val="left" w:pos="993"/>
        </w:tabs>
        <w:adjustRightInd w:val="0"/>
        <w:snapToGrid w:val="0"/>
        <w:spacing w:before="156" w:beforeLines="50" w:after="156" w:afterLines="50"/>
        <w:jc w:val="left"/>
        <w:rPr>
          <w:rFonts w:ascii="宋体" w:hAnsi="宋体" w:cs="宋体"/>
        </w:rPr>
      </w:pPr>
      <w:r>
        <w:rPr>
          <w:rFonts w:hint="eastAsia" w:ascii="宋体" w:hAnsi="宋体" w:cs="宋体"/>
          <w:b/>
          <w:sz w:val="28"/>
          <w:szCs w:val="28"/>
        </w:rPr>
        <w:t>九、保密条款</w:t>
      </w:r>
    </w:p>
    <w:p>
      <w:pPr>
        <w:pStyle w:val="8"/>
        <w:adjustRightInd w:val="0"/>
        <w:snapToGrid w:val="0"/>
        <w:ind w:firstLine="420" w:firstLineChars="200"/>
        <w:rPr>
          <w:rFonts w:ascii="宋体" w:hAnsi="宋体" w:cs="宋体"/>
          <w:sz w:val="21"/>
        </w:rPr>
      </w:pPr>
      <w:r>
        <w:rPr>
          <w:rFonts w:hint="eastAsia" w:ascii="宋体" w:hAnsi="宋体" w:cs="宋体"/>
          <w:sz w:val="21"/>
        </w:rPr>
        <w:t>1.合同各方应对本合同的内容、因履行本合同期间获得的或收到的其他方的商务、财务、技术、产品的信息、用户资料或其他文件或信息的内容保守秘密。事先未经信息披露方书面同意，不得向本合同以外的任何其他方披露。资料接受方可仅为本合同目的向其确有知悉必要的雇员披露对方提供的保密资料，但同时须指示其雇员遵守本条规定的保密及不披露义务。合同各方应仅为本合同目的而复制和使用保密资料。</w:t>
      </w:r>
    </w:p>
    <w:p>
      <w:pPr>
        <w:pStyle w:val="8"/>
        <w:adjustRightInd w:val="0"/>
        <w:snapToGrid w:val="0"/>
        <w:ind w:firstLine="420" w:firstLineChars="200"/>
        <w:rPr>
          <w:rFonts w:ascii="宋体" w:hAnsi="宋体" w:cs="宋体"/>
          <w:sz w:val="21"/>
        </w:rPr>
      </w:pPr>
      <w:r>
        <w:rPr>
          <w:rFonts w:hint="eastAsia" w:ascii="宋体" w:hAnsi="宋体" w:cs="宋体"/>
          <w:sz w:val="21"/>
        </w:rPr>
        <w:t>2.根据国家保密法律法规，乙方在参与项目采购、系统建设和服务保障过程中，需严格依法承担保密义务，采取严格有效的内部保密制度和措施，避免无关人员获悉相关信息。</w:t>
      </w:r>
    </w:p>
    <w:p>
      <w:pPr>
        <w:pStyle w:val="8"/>
        <w:adjustRightInd w:val="0"/>
        <w:snapToGrid w:val="0"/>
        <w:ind w:firstLine="420" w:firstLineChars="200"/>
        <w:rPr>
          <w:rFonts w:ascii="宋体" w:hAnsi="宋体" w:cs="宋体"/>
          <w:sz w:val="21"/>
        </w:rPr>
      </w:pPr>
      <w:r>
        <w:rPr>
          <w:rFonts w:hint="eastAsia" w:ascii="宋体" w:hAnsi="宋体" w:cs="宋体"/>
          <w:sz w:val="21"/>
        </w:rPr>
        <w:t>3.合同任一方若有违反上述保密规定的，应承担相应法律责任。</w:t>
      </w:r>
    </w:p>
    <w:p>
      <w:pPr>
        <w:pStyle w:val="8"/>
        <w:adjustRightInd w:val="0"/>
        <w:snapToGrid w:val="0"/>
        <w:ind w:firstLine="420" w:firstLineChars="200"/>
        <w:rPr>
          <w:rFonts w:ascii="宋体" w:hAnsi="宋体" w:cs="宋体"/>
          <w:sz w:val="21"/>
        </w:rPr>
      </w:pPr>
      <w:r>
        <w:rPr>
          <w:rFonts w:hint="eastAsia" w:ascii="宋体" w:hAnsi="宋体" w:cs="宋体"/>
          <w:sz w:val="21"/>
        </w:rPr>
        <w:t>4.本保密义务应在本合同期满、解除或终止后仍然有效。</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十、违约责任</w:t>
      </w:r>
    </w:p>
    <w:p>
      <w:pPr>
        <w:pStyle w:val="8"/>
        <w:adjustRightInd w:val="0"/>
        <w:snapToGrid w:val="0"/>
        <w:ind w:firstLine="420" w:firstLineChars="200"/>
        <w:rPr>
          <w:rFonts w:ascii="宋体" w:hAnsi="宋体" w:cs="宋体"/>
          <w:sz w:val="21"/>
        </w:rPr>
      </w:pPr>
      <w:r>
        <w:rPr>
          <w:rFonts w:hint="eastAsia" w:ascii="宋体" w:hAnsi="宋体" w:cs="宋体"/>
          <w:sz w:val="21"/>
        </w:rPr>
        <w:t>1.甲方无正当理由拒收服务的，由甲方向乙方偿付合同总额的</w:t>
      </w:r>
      <w:r>
        <w:rPr>
          <w:rFonts w:ascii="宋体" w:hAnsi="宋体" w:cs="宋体"/>
          <w:sz w:val="21"/>
        </w:rPr>
        <w:t>1</w:t>
      </w:r>
      <w:r>
        <w:rPr>
          <w:rFonts w:hint="eastAsia" w:ascii="宋体" w:hAnsi="宋体" w:cs="宋体"/>
          <w:sz w:val="21"/>
        </w:rPr>
        <w:t>%违约金。</w:t>
      </w:r>
    </w:p>
    <w:p>
      <w:pPr>
        <w:pStyle w:val="8"/>
        <w:adjustRightInd w:val="0"/>
        <w:snapToGrid w:val="0"/>
        <w:ind w:firstLine="420" w:firstLineChars="200"/>
        <w:rPr>
          <w:rFonts w:ascii="宋体" w:hAnsi="宋体" w:cs="宋体"/>
          <w:sz w:val="21"/>
        </w:rPr>
      </w:pPr>
      <w:r>
        <w:rPr>
          <w:rFonts w:hint="eastAsia" w:ascii="宋体" w:hAnsi="宋体" w:cs="宋体"/>
          <w:sz w:val="21"/>
        </w:rPr>
        <w:t>2.甲方未按合同规定的期限向乙方支付服务款的，每逾期1天甲方向乙方偿付欠款总额的万分之五滞纳金，但累计滞纳金总额不超过欠款总额的5% 。</w:t>
      </w:r>
    </w:p>
    <w:p>
      <w:pPr>
        <w:pStyle w:val="8"/>
        <w:adjustRightInd w:val="0"/>
        <w:snapToGrid w:val="0"/>
        <w:ind w:firstLine="420" w:firstLineChars="200"/>
        <w:rPr>
          <w:rFonts w:ascii="宋体" w:hAnsi="宋体" w:cs="宋体"/>
          <w:sz w:val="21"/>
        </w:rPr>
      </w:pPr>
      <w:r>
        <w:rPr>
          <w:rFonts w:hint="eastAsia" w:ascii="宋体" w:hAnsi="宋体" w:cs="宋体"/>
          <w:sz w:val="21"/>
        </w:rPr>
        <w:t>3.乙方逾期交付的，每逾期1天，乙方向甲方偿付合同总额的 5‰的滞纳金。如乙方逾期交付达10天，甲方有权解除合同，解除合同的通知自到达乙方时生效，甲方选择解除合同的，有权要求乙方按照合同总额的3</w:t>
      </w:r>
      <w:r>
        <w:rPr>
          <w:rFonts w:ascii="宋体" w:hAnsi="宋体" w:cs="宋体"/>
          <w:sz w:val="21"/>
        </w:rPr>
        <w:t>0</w:t>
      </w:r>
      <w:r>
        <w:rPr>
          <w:rFonts w:hint="eastAsia" w:ascii="宋体" w:hAnsi="宋体" w:cs="宋体"/>
          <w:sz w:val="21"/>
        </w:rPr>
        <w:t>%支付违约金。</w:t>
      </w:r>
    </w:p>
    <w:p>
      <w:pPr>
        <w:pStyle w:val="8"/>
        <w:adjustRightInd w:val="0"/>
        <w:snapToGrid w:val="0"/>
        <w:ind w:firstLine="420" w:firstLineChars="200"/>
        <w:rPr>
          <w:rFonts w:ascii="宋体" w:hAnsi="宋体" w:cs="宋体"/>
          <w:sz w:val="21"/>
        </w:rPr>
      </w:pPr>
      <w:r>
        <w:rPr>
          <w:rFonts w:hint="eastAsia" w:ascii="宋体" w:hAnsi="宋体" w:cs="宋体"/>
          <w:color w:val="000000"/>
          <w:sz w:val="21"/>
        </w:rPr>
        <w:t>4.乙方未按合同规定的质量、技术等标准要求履行合同（包括但不限于交货、安装、调试、质保），每出现一次，应向甲方支付合同总额【5%】的违约金，同时甲方有权拒收，要求乙方进行退货、更换、重做等，同时乙方应按照甲方要求无条件进行整改，直至验收合格。</w:t>
      </w:r>
      <w:r>
        <w:rPr>
          <w:rFonts w:hint="eastAsia" w:ascii="宋体" w:hAnsi="宋体" w:cs="宋体"/>
          <w:sz w:val="21"/>
        </w:rPr>
        <w:t>如果乙方在甲方要求的时间内拒绝整改或经两次整改仍未能验收合格，甲方有权委托合同外其他方采取补救措施或单方直接解除本合同，因此造成的损失和费用由乙方承担。</w:t>
      </w:r>
    </w:p>
    <w:p>
      <w:pPr>
        <w:pStyle w:val="10"/>
        <w:ind w:left="0" w:leftChars="0" w:firstLine="420" w:firstLineChars="200"/>
        <w:rPr>
          <w:rFonts w:ascii="宋体" w:hAnsi="宋体" w:cs="宋体"/>
        </w:rPr>
      </w:pPr>
      <w:r>
        <w:rPr>
          <w:rFonts w:hint="eastAsia" w:ascii="宋体" w:hAnsi="宋体" w:cs="宋体"/>
        </w:rPr>
        <w:t>5.乙方向甲方提供假冒伪劣产品、偷工减料、虚报工作量，或经相关部门检查或审计发现软、硬件系统有降低配置、程序完成与设计不一致、项目内容重复列项增加造价、提高施工或集成收费标准、相互勾结等徇私舞弊行为，乙方除按本批次所购产品或服务金额的10倍向甲方支付违约金外，主管部门有权向管理部门通报乙方的违规行为，直至取消其经营资格。</w:t>
      </w:r>
    </w:p>
    <w:p>
      <w:pPr>
        <w:pStyle w:val="10"/>
        <w:ind w:left="0" w:leftChars="0" w:firstLine="420" w:firstLineChars="200"/>
        <w:rPr>
          <w:rFonts w:ascii="宋体" w:hAnsi="宋体" w:cs="宋体"/>
        </w:rPr>
      </w:pPr>
      <w:r>
        <w:rPr>
          <w:rFonts w:hint="eastAsia" w:ascii="宋体" w:hAnsi="宋体" w:cs="宋体"/>
        </w:rPr>
        <w:t>6.乙方发生下列违约行为，应按合同总额的30%计算向甲方支付违约金。</w:t>
      </w:r>
    </w:p>
    <w:p>
      <w:pPr>
        <w:pStyle w:val="10"/>
        <w:ind w:left="0" w:leftChars="0" w:firstLine="420" w:firstLineChars="200"/>
        <w:rPr>
          <w:rFonts w:ascii="宋体" w:hAnsi="宋体" w:cs="宋体"/>
        </w:rPr>
      </w:pPr>
      <w:r>
        <w:rPr>
          <w:rFonts w:hint="eastAsia" w:ascii="宋体" w:hAnsi="宋体" w:cs="宋体"/>
        </w:rPr>
        <w:t>（1）乙方未能对从系统中获得的甲方医疗信息和患者诊疗信息</w:t>
      </w:r>
      <w:bookmarkStart w:id="40" w:name="_Hlk79416780"/>
      <w:r>
        <w:rPr>
          <w:rFonts w:hint="eastAsia" w:ascii="宋体" w:hAnsi="宋体" w:cs="宋体"/>
        </w:rPr>
        <w:t>或其他因本合同履行所获取的信息</w:t>
      </w:r>
      <w:bookmarkEnd w:id="40"/>
      <w:r>
        <w:rPr>
          <w:rFonts w:hint="eastAsia" w:ascii="宋体" w:hAnsi="宋体" w:cs="宋体"/>
        </w:rPr>
        <w:t>永久保密。</w:t>
      </w:r>
    </w:p>
    <w:p>
      <w:pPr>
        <w:pStyle w:val="10"/>
        <w:ind w:left="0" w:leftChars="0" w:firstLine="420" w:firstLineChars="200"/>
        <w:rPr>
          <w:rFonts w:ascii="宋体" w:hAnsi="宋体" w:cs="宋体"/>
        </w:rPr>
      </w:pPr>
      <w:r>
        <w:rPr>
          <w:rFonts w:hint="eastAsia" w:ascii="宋体" w:hAnsi="宋体" w:cs="宋体"/>
        </w:rPr>
        <w:t>（2）乙方在甲方提供维护的工程技术人员，未经甲方同意或未按甲方要求给甲方造成损失的。</w:t>
      </w:r>
    </w:p>
    <w:p>
      <w:pPr>
        <w:pStyle w:val="10"/>
        <w:ind w:left="0" w:leftChars="0" w:firstLine="420" w:firstLineChars="200"/>
        <w:rPr>
          <w:rFonts w:ascii="宋体" w:hAnsi="宋体" w:cs="宋体"/>
        </w:rPr>
      </w:pPr>
      <w:r>
        <w:rPr>
          <w:rFonts w:hint="eastAsia" w:ascii="宋体" w:hAnsi="宋体" w:cs="宋体"/>
        </w:rPr>
        <w:t>（3）乙方违反《南京</w:t>
      </w:r>
      <w:r>
        <w:rPr>
          <w:rFonts w:hint="eastAsia" w:ascii="宋体" w:hAnsi="宋体" w:cs="宋体"/>
          <w:u w:val="single"/>
        </w:rPr>
        <w:t>市疾病预防控制中心</w:t>
      </w:r>
      <w:r>
        <w:rPr>
          <w:rFonts w:hint="eastAsia" w:ascii="宋体" w:hAnsi="宋体" w:cs="宋体"/>
        </w:rPr>
        <w:t>单位物资购销廉洁条例》的规定。</w:t>
      </w:r>
      <w:r>
        <w:rPr>
          <w:rFonts w:hint="eastAsia" w:ascii="宋体" w:hAnsi="宋体" w:cs="宋体"/>
        </w:rPr>
        <w:tab/>
      </w:r>
    </w:p>
    <w:p>
      <w:r>
        <w:rPr>
          <w:rFonts w:hint="eastAsia"/>
        </w:rPr>
        <w:t>（4）乙方单方解除本合同或擅自不履行本合同义务。</w:t>
      </w:r>
    </w:p>
    <w:p>
      <w:pPr>
        <w:pStyle w:val="10"/>
        <w:ind w:left="0" w:leftChars="0" w:firstLine="420" w:firstLineChars="200"/>
        <w:rPr>
          <w:rFonts w:ascii="宋体" w:hAnsi="宋体" w:cs="宋体"/>
        </w:rPr>
      </w:pPr>
      <w:r>
        <w:rPr>
          <w:rFonts w:hint="eastAsia" w:ascii="宋体" w:hAnsi="宋体" w:cs="宋体"/>
        </w:rPr>
        <w:t>7.乙方有下列情形之一的，甲方有权单方直接解除合同：</w:t>
      </w:r>
    </w:p>
    <w:p>
      <w:pPr>
        <w:pStyle w:val="10"/>
        <w:ind w:left="0" w:leftChars="0" w:firstLine="420" w:firstLineChars="200"/>
        <w:rPr>
          <w:rFonts w:ascii="宋体" w:hAnsi="宋体" w:cs="宋体"/>
        </w:rPr>
      </w:pPr>
      <w:r>
        <w:rPr>
          <w:rFonts w:hint="eastAsia" w:ascii="宋体" w:hAnsi="宋体" w:cs="宋体"/>
        </w:rPr>
        <w:t>（1）未经甲方书面同意，将本合同约定权利义务转让给第三方；</w:t>
      </w:r>
    </w:p>
    <w:p>
      <w:pPr>
        <w:pStyle w:val="10"/>
        <w:ind w:left="0" w:leftChars="0" w:firstLine="420" w:firstLineChars="200"/>
        <w:rPr>
          <w:rFonts w:ascii="宋体" w:hAnsi="宋体" w:cs="宋体"/>
        </w:rPr>
      </w:pPr>
      <w:r>
        <w:rPr>
          <w:rFonts w:hint="eastAsia" w:ascii="宋体" w:hAnsi="宋体" w:cs="宋体"/>
        </w:rPr>
        <w:t>（2）合同履行过程中出现侵犯他人合法权益的事项，包括但不限于知识产权、人身财产权益等；</w:t>
      </w:r>
    </w:p>
    <w:p>
      <w:pPr>
        <w:pStyle w:val="10"/>
        <w:ind w:left="0" w:leftChars="0" w:firstLine="420" w:firstLineChars="200"/>
        <w:rPr>
          <w:rFonts w:ascii="宋体" w:hAnsi="宋体" w:cs="宋体"/>
        </w:rPr>
      </w:pPr>
      <w:r>
        <w:rPr>
          <w:rFonts w:hint="eastAsia" w:ascii="宋体" w:hAnsi="宋体" w:cs="宋体"/>
        </w:rPr>
        <w:t>（3）未履行合同信息保密和使用约定的；</w:t>
      </w:r>
    </w:p>
    <w:p>
      <w:pPr>
        <w:pStyle w:val="10"/>
        <w:ind w:left="0" w:leftChars="0" w:firstLine="420" w:firstLineChars="200"/>
        <w:rPr>
          <w:rFonts w:ascii="宋体" w:hAnsi="宋体" w:cs="宋体"/>
        </w:rPr>
      </w:pPr>
      <w:r>
        <w:rPr>
          <w:rFonts w:hint="eastAsia" w:ascii="宋体" w:hAnsi="宋体" w:cs="宋体"/>
        </w:rPr>
        <w:t>（4）未履行本合同约定其他义务的，经甲方催告后7日内，仍未整改的。</w:t>
      </w:r>
    </w:p>
    <w:p>
      <w:pPr>
        <w:pStyle w:val="8"/>
        <w:adjustRightInd w:val="0"/>
        <w:snapToGrid w:val="0"/>
        <w:ind w:firstLine="420" w:firstLineChars="200"/>
        <w:rPr>
          <w:rFonts w:ascii="宋体" w:hAnsi="宋体" w:cs="宋体"/>
          <w:sz w:val="21"/>
        </w:rPr>
      </w:pPr>
      <w:r>
        <w:rPr>
          <w:rFonts w:hint="eastAsia" w:ascii="宋体" w:hAnsi="宋体" w:cs="宋体"/>
          <w:sz w:val="21"/>
        </w:rPr>
        <w:t>8.乙方出现违约行为并承担违约责任时，甲方有权从应支付给乙方的合同款项中直接扣除违约金、赔偿金等所有违约责任费用；合同款项不足以扣除的，乙方应在收到甲方通知后的7日内予以补足。</w:t>
      </w:r>
    </w:p>
    <w:p>
      <w:pPr>
        <w:pStyle w:val="8"/>
        <w:adjustRightInd w:val="0"/>
        <w:snapToGrid w:val="0"/>
        <w:ind w:firstLine="420" w:firstLineChars="200"/>
        <w:rPr>
          <w:rFonts w:ascii="宋体" w:hAnsi="宋体" w:cs="宋体"/>
          <w:sz w:val="21"/>
        </w:rPr>
      </w:pPr>
      <w:r>
        <w:rPr>
          <w:rFonts w:hint="eastAsia" w:ascii="宋体" w:hAnsi="宋体" w:cs="宋体"/>
          <w:sz w:val="21"/>
        </w:rPr>
        <w:t>9.乙方交付的各项违约金并不影响乙方继续履行本合同的各项义务。</w:t>
      </w:r>
    </w:p>
    <w:p>
      <w:pPr>
        <w:pStyle w:val="8"/>
        <w:adjustRightInd w:val="0"/>
        <w:snapToGrid w:val="0"/>
        <w:ind w:firstLine="420" w:firstLineChars="200"/>
        <w:rPr>
          <w:rFonts w:ascii="宋体" w:hAnsi="宋体" w:cs="宋体"/>
          <w:sz w:val="21"/>
        </w:rPr>
      </w:pPr>
      <w:r>
        <w:rPr>
          <w:rFonts w:hint="eastAsia" w:ascii="宋体" w:hAnsi="宋体" w:cs="宋体"/>
          <w:sz w:val="21"/>
        </w:rPr>
        <w:t>10.乙方若违反“违约责任”第4款或第5款均视为对本协议的重大违约，甲方有权随时书面通知乙方立即解除本合同。</w:t>
      </w:r>
    </w:p>
    <w:p>
      <w:pPr>
        <w:pStyle w:val="8"/>
        <w:adjustRightInd w:val="0"/>
        <w:snapToGrid w:val="0"/>
        <w:ind w:firstLine="420" w:firstLineChars="200"/>
        <w:rPr>
          <w:rFonts w:ascii="宋体" w:hAnsi="宋体" w:cs="宋体"/>
          <w:sz w:val="21"/>
        </w:rPr>
      </w:pPr>
      <w:r>
        <w:rPr>
          <w:rFonts w:hint="eastAsia" w:ascii="宋体" w:hAnsi="宋体" w:cs="宋体"/>
          <w:sz w:val="21"/>
        </w:rPr>
        <w:t>11.因乙方违约行为给甲方造成损失（包括甲方所有直接和间接损失），如果违约金不足以补偿该损失部分的，甲方有权继续要求乙方赔偿甲方所有实际损失</w:t>
      </w:r>
      <w:bookmarkStart w:id="41" w:name="_Hlk79413339"/>
      <w:r>
        <w:rPr>
          <w:rFonts w:hint="eastAsia" w:ascii="宋体" w:hAnsi="宋体" w:cs="宋体"/>
          <w:sz w:val="21"/>
        </w:rPr>
        <w:t>（含律师费、差旅费、交通费等维权费用）</w:t>
      </w:r>
      <w:bookmarkEnd w:id="41"/>
      <w:r>
        <w:rPr>
          <w:rFonts w:hint="eastAsia" w:ascii="宋体" w:hAnsi="宋体" w:cs="宋体"/>
          <w:sz w:val="21"/>
        </w:rPr>
        <w:t>。</w:t>
      </w:r>
    </w:p>
    <w:p>
      <w:pPr>
        <w:pStyle w:val="8"/>
        <w:adjustRightInd w:val="0"/>
        <w:snapToGrid w:val="0"/>
        <w:ind w:firstLine="420" w:firstLineChars="200"/>
        <w:rPr>
          <w:rFonts w:ascii="宋体" w:hAnsi="宋体" w:cs="宋体"/>
          <w:sz w:val="21"/>
        </w:rPr>
      </w:pPr>
      <w:r>
        <w:rPr>
          <w:rFonts w:hint="eastAsia" w:ascii="宋体" w:hAnsi="宋体" w:cs="宋体"/>
          <w:sz w:val="21"/>
        </w:rPr>
        <w:t>12.在乙方承诺的或国家规定的质量保证期内（取两者中最长的期限），如经乙方两次整改仍不能达到合同约定的质量标准，乙方应退回全部合同价款，并按本条第3款处理，同时，乙方还须赔偿甲方因此遭受的损失。</w:t>
      </w:r>
    </w:p>
    <w:p>
      <w:pPr>
        <w:pStyle w:val="8"/>
        <w:adjustRightInd w:val="0"/>
        <w:snapToGrid w:val="0"/>
        <w:ind w:firstLine="420" w:firstLineChars="200"/>
        <w:rPr>
          <w:rFonts w:ascii="宋体" w:hAnsi="宋体" w:cs="宋体"/>
          <w:sz w:val="21"/>
        </w:rPr>
      </w:pPr>
      <w:r>
        <w:rPr>
          <w:rFonts w:hint="eastAsia" w:ascii="宋体" w:hAnsi="宋体" w:cs="宋体"/>
          <w:sz w:val="21"/>
        </w:rPr>
        <w:t>13.乙方未按本合同的规定和服务承诺提供伴随服务、售后服务的，应按合同总额的30%向甲方承担违约责任。</w:t>
      </w:r>
    </w:p>
    <w:p>
      <w:pPr>
        <w:pStyle w:val="8"/>
        <w:adjustRightInd w:val="0"/>
        <w:snapToGrid w:val="0"/>
        <w:ind w:firstLine="420" w:firstLineChars="200"/>
        <w:rPr>
          <w:rFonts w:ascii="宋体" w:hAnsi="宋体" w:cs="宋体"/>
          <w:sz w:val="21"/>
        </w:rPr>
      </w:pPr>
      <w:r>
        <w:rPr>
          <w:rFonts w:hint="eastAsia" w:ascii="宋体" w:hAnsi="宋体" w:cs="宋体"/>
          <w:sz w:val="21"/>
        </w:rPr>
        <w:t>14.乙方在承担上述</w:t>
      </w:r>
      <w:r>
        <w:rPr>
          <w:rFonts w:ascii="宋体" w:hAnsi="宋体" w:cs="宋体"/>
          <w:sz w:val="21"/>
        </w:rPr>
        <w:t>3</w:t>
      </w:r>
      <w:r>
        <w:rPr>
          <w:rFonts w:hint="eastAsia" w:ascii="宋体" w:hAnsi="宋体" w:cs="宋体"/>
          <w:sz w:val="21"/>
        </w:rPr>
        <w:t>-7款一项或多项违约责任后，仍应继续履行合同规定的义务（甲方解除合同的除外）。甲方未能及时追究乙方的任何一项违约责任并不表明甲方放弃追究乙方该项或其他违约责任。</w:t>
      </w:r>
    </w:p>
    <w:p>
      <w:pPr>
        <w:pStyle w:val="8"/>
        <w:adjustRightInd w:val="0"/>
        <w:snapToGrid w:val="0"/>
        <w:ind w:firstLine="420" w:firstLineChars="200"/>
        <w:rPr>
          <w:rFonts w:ascii="宋体" w:hAnsi="宋体" w:cs="宋体"/>
          <w:sz w:val="21"/>
        </w:rPr>
      </w:pPr>
      <w:r>
        <w:rPr>
          <w:rFonts w:hint="eastAsia" w:ascii="宋体" w:hAnsi="宋体" w:cs="宋体"/>
          <w:sz w:val="21"/>
        </w:rPr>
        <w:t>15.乙方响应属虚假承诺，经国家认可的质量检测机构测提供的服务不能满足竞争性磋商文件要求，或是由于乙方的过错造成合同无法继续履行的，乙方履约保证金不予退还外，还应向甲方支付不少于合同总额30%赔偿金，并由乙方承担鉴定费用。</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十一、争议的解决</w:t>
      </w:r>
    </w:p>
    <w:p>
      <w:pPr>
        <w:ind w:firstLine="420" w:firstLineChars="200"/>
        <w:rPr>
          <w:rFonts w:ascii="宋体" w:hAnsi="宋体" w:cs="宋体"/>
        </w:rPr>
      </w:pPr>
      <w:r>
        <w:rPr>
          <w:rFonts w:hint="eastAsia" w:ascii="宋体" w:hAnsi="宋体" w:cs="宋体"/>
        </w:rPr>
        <w:t>双方应本着友好协商的原则，解决与本合同有关的一切争议。如一方不愿协商或协商开始后30日内无法解决的，应提交甲方所在地有管辖权的人民法院裁决。</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十二、合同生效及其他</w:t>
      </w:r>
    </w:p>
    <w:p>
      <w:pPr>
        <w:pStyle w:val="8"/>
        <w:adjustRightInd w:val="0"/>
        <w:snapToGrid w:val="0"/>
        <w:ind w:firstLine="420" w:firstLineChars="200"/>
        <w:rPr>
          <w:rFonts w:ascii="宋体" w:hAnsi="宋体" w:cs="宋体"/>
          <w:sz w:val="21"/>
          <w:lang w:val="zh-CN"/>
        </w:rPr>
      </w:pPr>
      <w:r>
        <w:rPr>
          <w:rFonts w:hint="eastAsia" w:ascii="宋体" w:hAnsi="宋体" w:cs="宋体"/>
          <w:sz w:val="21"/>
          <w:lang w:val="zh-CN"/>
        </w:rPr>
        <w:t>1.本合同一式</w:t>
      </w:r>
      <w:r>
        <w:rPr>
          <w:rFonts w:hint="eastAsia" w:ascii="宋体" w:hAnsi="宋体" w:cs="宋体"/>
          <w:sz w:val="21"/>
          <w:lang w:val="en-US" w:eastAsia="zh-CN"/>
        </w:rPr>
        <w:t>四</w:t>
      </w:r>
      <w:r>
        <w:rPr>
          <w:rFonts w:hint="eastAsia" w:ascii="宋体" w:hAnsi="宋体" w:cs="宋体"/>
          <w:sz w:val="21"/>
          <w:lang w:val="zh-CN"/>
        </w:rPr>
        <w:t>份，</w:t>
      </w:r>
      <w:r>
        <w:rPr>
          <w:rFonts w:hint="eastAsia" w:ascii="宋体" w:hAnsi="宋体" w:cs="宋体"/>
          <w:sz w:val="21"/>
        </w:rPr>
        <w:t>甲</w:t>
      </w:r>
      <w:r>
        <w:rPr>
          <w:rFonts w:hint="eastAsia" w:ascii="宋体" w:hAnsi="宋体" w:cs="宋体"/>
          <w:sz w:val="21"/>
          <w:lang w:val="en-US" w:eastAsia="zh-CN"/>
        </w:rPr>
        <w:t>方三份，</w:t>
      </w:r>
      <w:r>
        <w:rPr>
          <w:rFonts w:hint="eastAsia" w:ascii="宋体" w:hAnsi="宋体" w:cs="宋体"/>
          <w:sz w:val="21"/>
        </w:rPr>
        <w:t>乙方</w:t>
      </w:r>
      <w:r>
        <w:rPr>
          <w:rFonts w:hint="eastAsia" w:ascii="宋体" w:hAnsi="宋体" w:cs="宋体"/>
          <w:sz w:val="21"/>
          <w:lang w:val="en-US" w:eastAsia="zh-CN"/>
        </w:rPr>
        <w:t>一</w:t>
      </w:r>
      <w:r>
        <w:rPr>
          <w:rFonts w:hint="eastAsia" w:ascii="宋体" w:hAnsi="宋体" w:cs="宋体"/>
          <w:sz w:val="21"/>
        </w:rPr>
        <w:t>份，经双方授权代表签字并加盖公章和骑缝章后生效，未尽事宜双方协商解决</w:t>
      </w:r>
      <w:r>
        <w:rPr>
          <w:rFonts w:hint="eastAsia" w:ascii="宋体" w:hAnsi="宋体" w:cs="宋体"/>
          <w:sz w:val="21"/>
          <w:lang w:val="zh-CN"/>
        </w:rPr>
        <w:t>。</w:t>
      </w:r>
    </w:p>
    <w:p>
      <w:pPr>
        <w:pStyle w:val="8"/>
        <w:adjustRightInd w:val="0"/>
        <w:snapToGrid w:val="0"/>
        <w:ind w:firstLine="420" w:firstLineChars="200"/>
        <w:rPr>
          <w:rFonts w:ascii="宋体" w:hAnsi="宋体" w:cs="宋体"/>
          <w:sz w:val="21"/>
          <w:lang w:val="zh-CN"/>
        </w:rPr>
      </w:pPr>
      <w:r>
        <w:rPr>
          <w:rFonts w:hint="eastAsia" w:ascii="宋体" w:hAnsi="宋体" w:cs="宋体"/>
          <w:sz w:val="21"/>
          <w:lang w:val="zh-CN"/>
        </w:rPr>
        <w:t>2.本合同应按照中华人民共和国的现行法律进行解释。</w:t>
      </w:r>
    </w:p>
    <w:p>
      <w:pPr>
        <w:pStyle w:val="8"/>
        <w:adjustRightInd w:val="0"/>
        <w:snapToGrid w:val="0"/>
        <w:ind w:firstLine="420" w:firstLineChars="200"/>
        <w:rPr>
          <w:rFonts w:ascii="宋体" w:hAnsi="宋体" w:cs="宋体"/>
          <w:sz w:val="21"/>
          <w:lang w:val="zh-CN"/>
        </w:rPr>
      </w:pPr>
      <w:r>
        <w:rPr>
          <w:rFonts w:hint="eastAsia" w:ascii="宋体" w:hAnsi="宋体" w:cs="宋体"/>
          <w:sz w:val="21"/>
          <w:lang w:val="zh-CN"/>
        </w:rPr>
        <w:t>3</w:t>
      </w:r>
      <w:r>
        <w:rPr>
          <w:rFonts w:ascii="宋体" w:hAnsi="宋体" w:cs="宋体"/>
          <w:sz w:val="21"/>
          <w:lang w:val="zh-CN"/>
        </w:rPr>
        <w:t>.</w:t>
      </w:r>
      <w:r>
        <w:rPr>
          <w:rFonts w:hint="eastAsia" w:ascii="宋体" w:hAnsi="宋体" w:cs="宋体"/>
          <w:sz w:val="21"/>
          <w:lang w:val="zh-CN"/>
        </w:rPr>
        <w:t>本合同载明的地址为双方确认的各项通知、函件、法律文书（包括律师函、传票、判决书、裁定书等）送达地址，对方或相关单位、部门向上述地址发送通知、函件或法律文书即视为送达（一方拒收或者第三人代收均视为送达）。如需变更地址应提前【7】日书面通知对方，否则自行承担不利后果。</w:t>
      </w:r>
    </w:p>
    <w:p>
      <w:pPr>
        <w:tabs>
          <w:tab w:val="left" w:pos="993"/>
        </w:tabs>
        <w:adjustRightInd w:val="0"/>
        <w:snapToGrid w:val="0"/>
        <w:spacing w:before="156" w:beforeLines="50" w:after="156" w:afterLines="50"/>
        <w:jc w:val="left"/>
        <w:rPr>
          <w:rFonts w:ascii="宋体" w:hAnsi="宋体" w:cs="宋体"/>
          <w:b/>
          <w:sz w:val="28"/>
          <w:szCs w:val="28"/>
          <w:lang w:val="zh-CN"/>
        </w:rPr>
      </w:pPr>
    </w:p>
    <w:p>
      <w:pPr>
        <w:tabs>
          <w:tab w:val="left" w:pos="993"/>
        </w:tabs>
        <w:adjustRightInd w:val="0"/>
        <w:snapToGrid w:val="0"/>
        <w:spacing w:before="156" w:beforeLines="50" w:after="156" w:afterLines="50"/>
        <w:jc w:val="left"/>
        <w:rPr>
          <w:rFonts w:ascii="宋体" w:hAnsi="宋体" w:cs="宋体"/>
          <w:b/>
          <w:sz w:val="28"/>
          <w:szCs w:val="28"/>
          <w:lang w:val="zh-CN"/>
        </w:rPr>
      </w:pPr>
      <w:r>
        <w:rPr>
          <w:rFonts w:hint="eastAsia" w:ascii="宋体" w:hAnsi="宋体" w:cs="宋体"/>
          <w:b/>
          <w:sz w:val="28"/>
          <w:szCs w:val="28"/>
          <w:lang w:val="zh-CN"/>
        </w:rPr>
        <w:t>合同附件：</w:t>
      </w:r>
    </w:p>
    <w:p>
      <w:pPr>
        <w:pStyle w:val="8"/>
        <w:adjustRightInd w:val="0"/>
        <w:snapToGrid w:val="0"/>
        <w:ind w:firstLine="420" w:firstLineChars="200"/>
        <w:rPr>
          <w:rFonts w:ascii="宋体" w:hAnsi="宋体" w:cs="宋体"/>
          <w:sz w:val="21"/>
          <w:lang w:val="zh-CN"/>
        </w:rPr>
      </w:pPr>
      <w:r>
        <w:rPr>
          <w:rFonts w:hint="eastAsia" w:ascii="宋体" w:hAnsi="宋体" w:cs="宋体"/>
          <w:sz w:val="21"/>
          <w:lang w:val="zh-CN"/>
        </w:rPr>
        <w:t>附件1：《配置清单》</w:t>
      </w:r>
    </w:p>
    <w:p>
      <w:pPr>
        <w:pStyle w:val="8"/>
        <w:adjustRightInd w:val="0"/>
        <w:snapToGrid w:val="0"/>
        <w:ind w:firstLine="420" w:firstLineChars="200"/>
        <w:rPr>
          <w:rFonts w:ascii="宋体" w:hAnsi="宋体" w:cs="宋体"/>
          <w:sz w:val="21"/>
          <w:lang w:val="zh-CN"/>
        </w:rPr>
      </w:pPr>
      <w:r>
        <w:rPr>
          <w:rFonts w:hint="eastAsia" w:ascii="宋体" w:hAnsi="宋体" w:cs="宋体"/>
          <w:sz w:val="21"/>
          <w:lang w:val="zh-CN"/>
        </w:rPr>
        <w:t>附件2：《产品功能简介》</w:t>
      </w:r>
    </w:p>
    <w:p>
      <w:pPr>
        <w:pStyle w:val="8"/>
        <w:adjustRightInd w:val="0"/>
        <w:snapToGrid w:val="0"/>
        <w:ind w:firstLine="420" w:firstLineChars="200"/>
        <w:rPr>
          <w:rFonts w:ascii="宋体" w:hAnsi="宋体" w:cs="宋体"/>
          <w:sz w:val="21"/>
          <w:lang w:val="zh-CN"/>
        </w:rPr>
      </w:pPr>
      <w:r>
        <w:rPr>
          <w:rFonts w:hint="eastAsia" w:ascii="宋体" w:hAnsi="宋体" w:cs="宋体"/>
          <w:sz w:val="21"/>
          <w:lang w:val="zh-CN"/>
        </w:rPr>
        <w:t>附件3：《验收标准》</w:t>
      </w:r>
    </w:p>
    <w:p>
      <w:pPr>
        <w:pStyle w:val="8"/>
        <w:adjustRightInd w:val="0"/>
        <w:snapToGrid w:val="0"/>
        <w:ind w:firstLine="420" w:firstLineChars="200"/>
      </w:pPr>
      <w:r>
        <w:rPr>
          <w:rFonts w:hint="eastAsia" w:ascii="宋体" w:hAnsi="宋体" w:cs="宋体"/>
          <w:sz w:val="21"/>
          <w:lang w:val="zh-CN"/>
        </w:rPr>
        <w:t>附件4：《安全生产承诺书》</w:t>
      </w:r>
    </w:p>
    <w:p>
      <w:pPr>
        <w:pStyle w:val="10"/>
        <w:ind w:left="1260"/>
      </w:pPr>
    </w:p>
    <w:p>
      <w:pPr>
        <w:spacing w:line="480" w:lineRule="auto"/>
        <w:ind w:left="11" w:hanging="10"/>
        <w:jc w:val="left"/>
        <w:rPr>
          <w:rFonts w:ascii="宋体" w:hAnsi="宋体"/>
          <w:b/>
          <w:bCs/>
          <w:u w:val="single"/>
        </w:rPr>
      </w:pPr>
      <w:r>
        <w:rPr>
          <w:rFonts w:hint="eastAsia" w:ascii="宋体" w:hAnsi="宋体"/>
          <w:b/>
          <w:bCs/>
        </w:rPr>
        <w:t>甲方：</w:t>
      </w:r>
      <w:r>
        <w:rPr>
          <w:rFonts w:hint="eastAsia" w:ascii="宋体" w:hAnsi="宋体"/>
          <w:b/>
          <w:bCs/>
          <w:u w:val="single"/>
        </w:rPr>
        <w:t xml:space="preserve"> 南京市疾病预防控制中心 </w:t>
      </w:r>
      <w:r>
        <w:rPr>
          <w:rFonts w:hint="eastAsia" w:ascii="宋体" w:hAnsi="宋体"/>
        </w:rPr>
        <w:t xml:space="preserve">            </w:t>
      </w:r>
      <w:r>
        <w:rPr>
          <w:rFonts w:hint="eastAsia" w:ascii="宋体" w:hAnsi="宋体"/>
          <w:b/>
          <w:bCs/>
        </w:rPr>
        <w:t>乙方：</w:t>
      </w:r>
    </w:p>
    <w:p>
      <w:pPr>
        <w:spacing w:line="480" w:lineRule="auto"/>
        <w:ind w:left="11" w:firstLine="2741" w:firstLineChars="1300"/>
        <w:jc w:val="left"/>
        <w:rPr>
          <w:rFonts w:ascii="宋体" w:hAnsi="宋体"/>
          <w:b/>
          <w:bCs/>
          <w:u w:val="single"/>
        </w:rPr>
      </w:pPr>
      <w:r>
        <w:rPr>
          <w:rFonts w:hint="eastAsia" w:ascii="宋体" w:hAnsi="宋体"/>
          <w:b/>
          <w:bCs/>
        </w:rPr>
        <w:t>（盖章）                            （盖章）</w:t>
      </w:r>
    </w:p>
    <w:p>
      <w:pPr>
        <w:spacing w:line="480" w:lineRule="auto"/>
        <w:ind w:left="11" w:hanging="10"/>
        <w:jc w:val="left"/>
        <w:rPr>
          <w:rFonts w:ascii="宋体" w:hAnsi="宋体"/>
          <w:b/>
          <w:bCs/>
        </w:rPr>
      </w:pPr>
      <w:r>
        <w:rPr>
          <w:rFonts w:hint="eastAsia" w:ascii="宋体" w:hAnsi="宋体"/>
          <w:b/>
          <w:bCs/>
        </w:rPr>
        <w:t>地址：</w:t>
      </w:r>
      <w:bookmarkStart w:id="42" w:name="_Hlk79066640"/>
      <w:r>
        <w:rPr>
          <w:rFonts w:hint="eastAsia" w:ascii="宋体" w:hAnsi="宋体"/>
          <w:b/>
          <w:bCs/>
          <w:u w:val="single"/>
        </w:rPr>
        <w:t>南京市鼓楼区紫竹林2号</w:t>
      </w:r>
      <w:bookmarkEnd w:id="42"/>
      <w:r>
        <w:rPr>
          <w:rFonts w:hint="eastAsia" w:ascii="宋体" w:hAnsi="宋体"/>
          <w:b/>
          <w:bCs/>
        </w:rPr>
        <w:t xml:space="preserve">               地址：</w:t>
      </w:r>
    </w:p>
    <w:p>
      <w:pPr>
        <w:spacing w:line="480" w:lineRule="auto"/>
        <w:ind w:left="11" w:hanging="10"/>
        <w:jc w:val="left"/>
        <w:rPr>
          <w:rFonts w:ascii="宋体" w:hAnsi="宋体"/>
          <w:b/>
          <w:bCs/>
        </w:rPr>
      </w:pPr>
      <w:r>
        <w:rPr>
          <w:rFonts w:hint="eastAsia" w:ascii="宋体" w:hAnsi="宋体"/>
          <w:b/>
          <w:bCs/>
        </w:rPr>
        <w:t>邮编：</w:t>
      </w:r>
      <w:r>
        <w:rPr>
          <w:rFonts w:ascii="宋体" w:hAnsi="宋体"/>
          <w:b/>
          <w:bCs/>
          <w:u w:val="single"/>
        </w:rPr>
        <w:t>210000</w:t>
      </w:r>
      <w:r>
        <w:rPr>
          <w:rFonts w:hint="eastAsia" w:ascii="宋体" w:hAnsi="宋体"/>
          <w:b/>
          <w:bCs/>
        </w:rPr>
        <w:t xml:space="preserve"> 传真：</w:t>
      </w:r>
      <w:r>
        <w:rPr>
          <w:rFonts w:ascii="宋体" w:hAnsi="宋体"/>
          <w:b/>
          <w:bCs/>
          <w:u w:val="single"/>
        </w:rPr>
        <w:t>83538309</w:t>
      </w:r>
      <w:r>
        <w:rPr>
          <w:rFonts w:hint="eastAsia" w:ascii="宋体" w:hAnsi="宋体"/>
          <w:b/>
          <w:bCs/>
        </w:rPr>
        <w:t xml:space="preserve">                邮编： 传真：</w:t>
      </w:r>
    </w:p>
    <w:p>
      <w:pPr>
        <w:spacing w:line="480" w:lineRule="auto"/>
        <w:ind w:left="11" w:hanging="10"/>
        <w:jc w:val="left"/>
        <w:rPr>
          <w:rFonts w:ascii="宋体" w:hAnsi="宋体"/>
          <w:b/>
          <w:bCs/>
          <w:u w:val="single"/>
        </w:rPr>
      </w:pPr>
      <w:r>
        <w:rPr>
          <w:rFonts w:hint="eastAsia" w:ascii="宋体" w:hAnsi="宋体"/>
          <w:b/>
          <w:bCs/>
        </w:rPr>
        <w:t>电话：（手机）</w:t>
      </w:r>
      <w:bookmarkStart w:id="43" w:name="_Hlk79066744"/>
      <w:r>
        <w:rPr>
          <w:rFonts w:ascii="宋体" w:hAnsi="宋体"/>
          <w:b/>
          <w:bCs/>
          <w:u w:val="single"/>
        </w:rPr>
        <w:t>025-83538389</w:t>
      </w:r>
      <w:bookmarkEnd w:id="43"/>
      <w:r>
        <w:rPr>
          <w:rFonts w:hint="eastAsia" w:ascii="宋体" w:hAnsi="宋体"/>
          <w:b/>
          <w:bCs/>
        </w:rPr>
        <w:t xml:space="preserve">                  电话：（手机）</w:t>
      </w:r>
    </w:p>
    <w:p>
      <w:pPr>
        <w:spacing w:line="480" w:lineRule="auto"/>
        <w:ind w:left="11" w:hanging="10"/>
        <w:jc w:val="left"/>
        <w:rPr>
          <w:rFonts w:ascii="宋体" w:hAnsi="宋体"/>
          <w:b/>
          <w:bCs/>
          <w:u w:val="single"/>
        </w:rPr>
      </w:pPr>
      <w:r>
        <w:rPr>
          <w:rFonts w:hint="eastAsia" w:ascii="宋体" w:hAnsi="宋体"/>
          <w:b/>
          <w:bCs/>
        </w:rPr>
        <w:t>法定代表或授权代表人：                     法定代表或授权代表人：</w:t>
      </w:r>
    </w:p>
    <w:p>
      <w:pPr>
        <w:spacing w:line="480" w:lineRule="auto"/>
        <w:ind w:left="11" w:hanging="10"/>
        <w:jc w:val="left"/>
        <w:rPr>
          <w:rFonts w:ascii="宋体" w:hAnsi="宋体"/>
          <w:b/>
          <w:bCs/>
        </w:rPr>
      </w:pPr>
      <w:r>
        <w:rPr>
          <w:rFonts w:hint="eastAsia" w:ascii="宋体" w:hAnsi="宋体"/>
          <w:b/>
          <w:bCs/>
        </w:rPr>
        <w:t>分管领导：                                 项目经理：</w:t>
      </w:r>
    </w:p>
    <w:p>
      <w:pPr>
        <w:widowControl/>
        <w:autoSpaceDE w:val="0"/>
        <w:autoSpaceDN w:val="0"/>
        <w:spacing w:line="480" w:lineRule="auto"/>
        <w:ind w:left="11" w:hanging="10"/>
        <w:jc w:val="left"/>
        <w:textAlignment w:val="bottom"/>
        <w:rPr>
          <w:b/>
          <w:bCs/>
          <w:u w:val="single"/>
        </w:rPr>
      </w:pPr>
      <w:bookmarkStart w:id="44" w:name="OLE_LINK4"/>
      <w:bookmarkStart w:id="45" w:name="OLE_LINK3"/>
      <w:r>
        <w:rPr>
          <w:rFonts w:hint="eastAsia" w:ascii="宋体" w:hAnsi="宋体"/>
          <w:b/>
          <w:bCs/>
        </w:rPr>
        <w:t>采购部门负责人：</w:t>
      </w:r>
      <w:bookmarkEnd w:id="44"/>
      <w:bookmarkEnd w:id="45"/>
      <w:r>
        <w:rPr>
          <w:rFonts w:hint="eastAsia" w:ascii="宋体" w:hAnsi="宋体"/>
          <w:b/>
          <w:bCs/>
        </w:rPr>
        <w:t xml:space="preserve">                           </w:t>
      </w:r>
      <w:r>
        <w:rPr>
          <w:rFonts w:hint="eastAsia"/>
          <w:b/>
          <w:bCs/>
        </w:rPr>
        <w:t>开户行：</w:t>
      </w:r>
    </w:p>
    <w:p>
      <w:pPr>
        <w:spacing w:line="480" w:lineRule="auto"/>
        <w:ind w:left="11" w:hanging="10"/>
        <w:jc w:val="left"/>
        <w:rPr>
          <w:rFonts w:ascii="宋体" w:hAnsi="宋体" w:cs="宋体"/>
        </w:rPr>
      </w:pPr>
      <w:r>
        <w:rPr>
          <w:rFonts w:hint="eastAsia"/>
          <w:b/>
          <w:bCs/>
        </w:rPr>
        <w:t>日 期：</w:t>
      </w:r>
      <w:r>
        <w:rPr>
          <w:rFonts w:hint="eastAsia" w:ascii="宋体" w:hAnsi="宋体"/>
          <w:b/>
          <w:bCs/>
        </w:rPr>
        <w:t>日期：</w:t>
      </w:r>
    </w:p>
    <w:p>
      <w:pPr>
        <w:tabs>
          <w:tab w:val="left" w:pos="1230"/>
          <w:tab w:val="left" w:pos="5151"/>
          <w:tab w:val="left" w:pos="5871"/>
        </w:tabs>
        <w:autoSpaceDE w:val="0"/>
        <w:autoSpaceDN w:val="0"/>
        <w:rPr>
          <w:rFonts w:ascii="宋体" w:hAnsi="宋体" w:cs="宋体"/>
          <w:color w:val="000000"/>
          <w:kern w:val="0"/>
          <w:lang w:bidi="zh-CN"/>
        </w:rPr>
      </w:pPr>
      <w:r>
        <w:rPr>
          <w:b/>
          <w:bCs/>
        </w:rPr>
        <w:br w:type="page"/>
      </w:r>
      <w:r>
        <w:rPr>
          <w:rFonts w:hint="eastAsia" w:ascii="宋体" w:hAnsi="宋体" w:cs="宋体"/>
          <w:b/>
          <w:bCs/>
          <w:color w:val="000000"/>
          <w:kern w:val="0"/>
          <w:sz w:val="24"/>
          <w:szCs w:val="24"/>
          <w:lang w:bidi="zh-CN"/>
        </w:rPr>
        <w:t>附件1：《投标文件配置清单》</w:t>
      </w:r>
    </w:p>
    <w:p>
      <w:pPr>
        <w:jc w:val="center"/>
        <w:rPr>
          <w:b/>
          <w:bCs/>
          <w:sz w:val="44"/>
          <w:szCs w:val="44"/>
        </w:rPr>
      </w:pPr>
      <w:r>
        <w:rPr>
          <w:b/>
          <w:bCs/>
          <w:sz w:val="44"/>
          <w:szCs w:val="44"/>
        </w:rPr>
        <w:t>配置清单</w:t>
      </w:r>
    </w:p>
    <w:p>
      <w:pPr>
        <w:ind w:left="1260" w:leftChars="600"/>
      </w:pPr>
    </w:p>
    <w:p/>
    <w:p>
      <w:pPr>
        <w:ind w:left="1260" w:leftChars="600"/>
      </w:pPr>
    </w:p>
    <w:p>
      <w:pPr>
        <w:pStyle w:val="10"/>
        <w:ind w:left="1260"/>
      </w:pPr>
    </w:p>
    <w:p/>
    <w:p>
      <w:pPr>
        <w:pStyle w:val="10"/>
        <w:ind w:left="1260"/>
      </w:pPr>
    </w:p>
    <w:p/>
    <w:p>
      <w:pPr>
        <w:pStyle w:val="10"/>
        <w:ind w:left="1260"/>
      </w:pPr>
    </w:p>
    <w:p/>
    <w:p>
      <w:pPr>
        <w:pStyle w:val="10"/>
        <w:ind w:left="1260"/>
      </w:pPr>
    </w:p>
    <w:p/>
    <w:p>
      <w:pPr>
        <w:widowControl/>
        <w:spacing w:line="360" w:lineRule="auto"/>
        <w:ind w:firstLine="482"/>
      </w:pPr>
      <w:r>
        <w:rPr>
          <w:rFonts w:hint="eastAsia"/>
        </w:rPr>
        <w:t>甲方：南京市疾病预防控制中心          乙方：</w:t>
      </w:r>
    </w:p>
    <w:p>
      <w:pPr>
        <w:widowControl/>
        <w:spacing w:line="360" w:lineRule="auto"/>
        <w:ind w:firstLine="482"/>
      </w:pPr>
    </w:p>
    <w:p>
      <w:pPr>
        <w:widowControl/>
        <w:spacing w:line="360" w:lineRule="auto"/>
        <w:ind w:firstLine="482"/>
      </w:pPr>
      <w:r>
        <w:rPr>
          <w:rFonts w:hint="eastAsia"/>
        </w:rPr>
        <w:t>代表：                                代表：</w:t>
      </w:r>
    </w:p>
    <w:p>
      <w:pPr>
        <w:widowControl/>
        <w:spacing w:line="360" w:lineRule="auto"/>
        <w:ind w:firstLine="482"/>
      </w:pPr>
    </w:p>
    <w:p>
      <w:pPr>
        <w:widowControl/>
        <w:spacing w:line="360" w:lineRule="auto"/>
        <w:ind w:firstLine="482"/>
      </w:pPr>
      <w:r>
        <w:rPr>
          <w:rFonts w:hint="eastAsia"/>
        </w:rPr>
        <w:t>20    年    月   日</w:t>
      </w:r>
      <w:r>
        <w:br w:type="page"/>
      </w:r>
    </w:p>
    <w:p>
      <w:pPr>
        <w:tabs>
          <w:tab w:val="left" w:pos="1230"/>
          <w:tab w:val="left" w:pos="5151"/>
          <w:tab w:val="left" w:pos="5871"/>
        </w:tabs>
        <w:autoSpaceDE w:val="0"/>
        <w:autoSpaceDN w:val="0"/>
        <w:rPr>
          <w:rFonts w:ascii="宋体" w:hAnsi="宋体" w:cs="宋体"/>
          <w:b/>
          <w:bCs/>
          <w:color w:val="000000"/>
          <w:kern w:val="0"/>
          <w:sz w:val="24"/>
          <w:szCs w:val="24"/>
          <w:lang w:bidi="zh-CN"/>
        </w:rPr>
      </w:pPr>
      <w:r>
        <w:rPr>
          <w:rFonts w:hint="eastAsia" w:ascii="宋体" w:hAnsi="宋体" w:cs="宋体"/>
          <w:b/>
          <w:bCs/>
          <w:color w:val="000000"/>
          <w:kern w:val="0"/>
          <w:sz w:val="24"/>
          <w:szCs w:val="24"/>
          <w:lang w:bidi="zh-CN"/>
        </w:rPr>
        <w:t>附件2：《产品功能简介》</w:t>
      </w:r>
    </w:p>
    <w:p>
      <w:pPr>
        <w:widowControl/>
        <w:spacing w:line="360" w:lineRule="auto"/>
        <w:rPr>
          <w:rFonts w:ascii="宋体" w:hAnsi="宋体" w:cs="宋体"/>
          <w:color w:val="000000"/>
          <w:kern w:val="0"/>
          <w:lang w:bidi="zh-CN"/>
        </w:rPr>
      </w:pPr>
      <w:r>
        <w:rPr>
          <w:rFonts w:hint="eastAsia" w:ascii="宋体" w:hAnsi="宋体" w:cs="宋体"/>
          <w:color w:val="000000"/>
          <w:kern w:val="0"/>
          <w:lang w:bidi="zh-CN"/>
        </w:rPr>
        <w:t>见招标文件</w:t>
      </w:r>
    </w:p>
    <w:p>
      <w:pPr>
        <w:widowControl/>
        <w:spacing w:line="360" w:lineRule="auto"/>
        <w:ind w:firstLine="482"/>
        <w:rPr>
          <w:rFonts w:ascii="宋体" w:hAnsi="宋体" w:cs="宋体"/>
          <w:lang w:val="zh-CN"/>
        </w:rPr>
      </w:pPr>
      <w:r>
        <w:rPr>
          <w:rFonts w:ascii="宋体" w:hAnsi="宋体" w:cs="宋体"/>
          <w:lang w:val="zh-CN"/>
        </w:rPr>
        <w:br w:type="page"/>
      </w:r>
    </w:p>
    <w:p>
      <w:pPr>
        <w:adjustRightInd w:val="0"/>
        <w:snapToGrid w:val="0"/>
        <w:rPr>
          <w:rFonts w:ascii="宋体" w:hAnsi="宋体" w:cs="宋体"/>
          <w:b/>
          <w:bCs/>
          <w:sz w:val="24"/>
          <w:szCs w:val="24"/>
          <w:lang w:val="zh-CN"/>
        </w:rPr>
      </w:pPr>
      <w:r>
        <w:rPr>
          <w:rFonts w:hint="eastAsia" w:ascii="宋体" w:hAnsi="宋体" w:cs="宋体"/>
          <w:b/>
          <w:bCs/>
          <w:sz w:val="24"/>
          <w:szCs w:val="24"/>
          <w:lang w:val="zh-CN"/>
        </w:rPr>
        <w:t>附件3：《验收标准》</w:t>
      </w:r>
    </w:p>
    <w:p>
      <w:pPr>
        <w:widowControl/>
        <w:spacing w:line="360" w:lineRule="auto"/>
        <w:rPr>
          <w:rFonts w:ascii="宋体" w:hAnsi="宋体" w:cs="宋体"/>
          <w:color w:val="000000"/>
          <w:kern w:val="0"/>
          <w:lang w:bidi="zh-CN"/>
        </w:rPr>
      </w:pPr>
      <w:r>
        <w:rPr>
          <w:rFonts w:hint="eastAsia" w:ascii="宋体" w:hAnsi="宋体" w:cs="宋体"/>
          <w:color w:val="000000"/>
          <w:kern w:val="0"/>
          <w:lang w:bidi="zh-CN"/>
        </w:rPr>
        <w:t>见招标文件</w:t>
      </w:r>
    </w:p>
    <w:p>
      <w:pPr>
        <w:pStyle w:val="10"/>
        <w:spacing w:line="400" w:lineRule="exact"/>
        <w:ind w:left="0" w:leftChars="0"/>
        <w:rPr>
          <w:rFonts w:ascii="宋体" w:hAnsi="宋体" w:cs="宋体"/>
        </w:rPr>
      </w:pPr>
    </w:p>
    <w:p>
      <w:pPr>
        <w:adjustRightInd w:val="0"/>
        <w:snapToGrid w:val="0"/>
        <w:rPr>
          <w:rFonts w:ascii="宋体" w:hAnsi="宋体" w:cs="宋体"/>
        </w:rPr>
      </w:pPr>
    </w:p>
    <w:p>
      <w:pPr>
        <w:pStyle w:val="10"/>
        <w:ind w:left="1260"/>
      </w:pPr>
    </w:p>
    <w:p/>
    <w:p>
      <w:pPr>
        <w:pStyle w:val="10"/>
        <w:ind w:left="1260"/>
      </w:pPr>
    </w:p>
    <w:p/>
    <w:p/>
    <w:p/>
    <w:p/>
    <w:p/>
    <w:p/>
    <w:p/>
    <w:p/>
    <w:p/>
    <w:p/>
    <w:p/>
    <w:p/>
    <w:p/>
    <w:p/>
    <w:p/>
    <w:p/>
    <w:p/>
    <w:p/>
    <w:p/>
    <w:p/>
    <w:p/>
    <w:p/>
    <w:p/>
    <w:p/>
    <w:p/>
    <w:p/>
    <w:p/>
    <w:p/>
    <w:p/>
    <w:p/>
    <w:p>
      <w:pPr>
        <w:pStyle w:val="10"/>
        <w:ind w:left="1260"/>
      </w:pPr>
    </w:p>
    <w:p/>
    <w:p>
      <w:pPr>
        <w:pStyle w:val="10"/>
        <w:ind w:left="1260"/>
      </w:pPr>
    </w:p>
    <w:p>
      <w:pPr>
        <w:adjustRightInd w:val="0"/>
        <w:snapToGrid w:val="0"/>
        <w:rPr>
          <w:rFonts w:ascii="宋体" w:hAnsi="宋体" w:cs="宋体"/>
        </w:rPr>
      </w:pPr>
    </w:p>
    <w:p>
      <w:pPr>
        <w:pStyle w:val="10"/>
        <w:ind w:left="1260"/>
      </w:pPr>
    </w:p>
    <w:p/>
    <w:p>
      <w:pPr>
        <w:pStyle w:val="10"/>
        <w:ind w:left="1260"/>
      </w:pPr>
    </w:p>
    <w:p>
      <w:pPr>
        <w:adjustRightInd w:val="0"/>
        <w:snapToGrid w:val="0"/>
        <w:rPr>
          <w:rFonts w:ascii="宋体" w:hAnsi="宋体" w:cs="宋体"/>
          <w:lang w:val="zh-CN"/>
        </w:rPr>
      </w:pPr>
      <w:r>
        <w:rPr>
          <w:rFonts w:hint="eastAsia" w:ascii="宋体" w:hAnsi="宋体" w:cs="宋体"/>
          <w:b/>
          <w:bCs/>
          <w:sz w:val="24"/>
          <w:szCs w:val="24"/>
          <w:lang w:val="zh-CN"/>
        </w:rPr>
        <w:t>附件4：《安全生产承诺书》</w:t>
      </w:r>
    </w:p>
    <w:p>
      <w:pPr>
        <w:ind w:firstLine="2209" w:firstLineChars="500"/>
        <w:rPr>
          <w:b/>
          <w:bCs/>
          <w:sz w:val="44"/>
          <w:szCs w:val="44"/>
        </w:rPr>
      </w:pPr>
      <w:r>
        <w:rPr>
          <w:rFonts w:hint="eastAsia"/>
          <w:b/>
          <w:bCs/>
          <w:sz w:val="44"/>
          <w:szCs w:val="44"/>
        </w:rPr>
        <w:t>安全生产承诺书</w:t>
      </w:r>
    </w:p>
    <w:p>
      <w:pPr>
        <w:spacing w:line="400" w:lineRule="exact"/>
        <w:ind w:firstLine="420" w:firstLineChars="200"/>
        <w:rPr>
          <w:rFonts w:ascii="宋体" w:hAnsi="宋体"/>
          <w:bCs/>
        </w:rPr>
      </w:pPr>
    </w:p>
    <w:p>
      <w:pPr>
        <w:spacing w:line="400" w:lineRule="exact"/>
        <w:ind w:firstLine="420" w:firstLineChars="200"/>
        <w:rPr>
          <w:rFonts w:ascii="宋体" w:hAnsi="宋体"/>
          <w:bCs/>
        </w:rPr>
      </w:pPr>
      <w:r>
        <w:rPr>
          <w:rFonts w:hint="eastAsia" w:ascii="宋体" w:hAnsi="宋体"/>
          <w:bCs/>
        </w:rPr>
        <w:t>中标单位全面负责本单位相关设备/软件安装（含维修）期间的消防、安全生产和治安防范工作，履行下列职责：</w:t>
      </w:r>
    </w:p>
    <w:p>
      <w:pPr>
        <w:spacing w:line="400" w:lineRule="exact"/>
        <w:ind w:firstLine="420" w:firstLineChars="200"/>
        <w:rPr>
          <w:rFonts w:ascii="宋体" w:hAnsi="宋体"/>
          <w:bCs/>
        </w:rPr>
      </w:pPr>
      <w:r>
        <w:rPr>
          <w:rFonts w:hint="eastAsia" w:ascii="宋体" w:hAnsi="宋体"/>
          <w:bCs/>
        </w:rPr>
        <w:t>一、贯彻执行消防法规、建筑法规、安全治安管理有关法律法规，自觉接受信息管理部门的安全管理领导。</w:t>
      </w:r>
    </w:p>
    <w:p>
      <w:pPr>
        <w:spacing w:line="400" w:lineRule="exact"/>
        <w:ind w:firstLine="420" w:firstLineChars="200"/>
        <w:rPr>
          <w:rFonts w:ascii="宋体" w:hAnsi="宋体"/>
          <w:bCs/>
        </w:rPr>
      </w:pPr>
      <w:r>
        <w:rPr>
          <w:rFonts w:hint="eastAsia" w:ascii="宋体" w:hAnsi="宋体"/>
          <w:bCs/>
        </w:rPr>
        <w:t>二、设备/软件安装（含维修）管理必须坚持“安全第一、预防为主”的方针，软件安装（含维修）单位的法定代表人对本单位在</w:t>
      </w:r>
      <w:r>
        <w:rPr>
          <w:rFonts w:hint="eastAsia" w:ascii="宋体" w:hAnsi="宋体"/>
          <w:bCs/>
          <w:u w:val="single"/>
        </w:rPr>
        <w:t xml:space="preserve"> 南京市疾病预防控制中心 </w:t>
      </w:r>
      <w:r>
        <w:rPr>
          <w:rFonts w:hint="eastAsia" w:ascii="宋体" w:hAnsi="宋体"/>
          <w:bCs/>
        </w:rPr>
        <w:t>的安全生产负责。</w:t>
      </w:r>
    </w:p>
    <w:p>
      <w:pPr>
        <w:spacing w:line="400" w:lineRule="exact"/>
        <w:ind w:firstLine="420" w:firstLineChars="200"/>
        <w:rPr>
          <w:rFonts w:ascii="宋体" w:hAnsi="宋体"/>
          <w:bCs/>
        </w:rPr>
      </w:pPr>
      <w:r>
        <w:rPr>
          <w:rFonts w:hint="eastAsia" w:ascii="宋体" w:hAnsi="宋体"/>
          <w:bCs/>
        </w:rPr>
        <w:t>三、设备/软件安装（含维修）单位必须依法加强对设备安全施工的管理，执行安全生产责任制度，采取有效措施，防止伤亡和其他安全生产责任事故的发生。</w:t>
      </w:r>
    </w:p>
    <w:p>
      <w:pPr>
        <w:spacing w:line="400" w:lineRule="exact"/>
        <w:ind w:firstLine="420" w:firstLineChars="200"/>
        <w:rPr>
          <w:rFonts w:ascii="宋体" w:hAnsi="宋体"/>
          <w:bCs/>
        </w:rPr>
      </w:pPr>
      <w:r>
        <w:rPr>
          <w:rFonts w:hint="eastAsia" w:ascii="宋体" w:hAnsi="宋体"/>
          <w:bCs/>
        </w:rPr>
        <w:t>四、设备/软件安装（含维修）单位应当建立健全劳动安全生产教育培训制度，加强对职工安全生产的教育和培训，未经安全生产教育培训人员不得上岗作业。</w:t>
      </w:r>
    </w:p>
    <w:p>
      <w:pPr>
        <w:spacing w:line="400" w:lineRule="exact"/>
        <w:ind w:firstLine="420" w:firstLineChars="200"/>
        <w:rPr>
          <w:rFonts w:ascii="宋体" w:hAnsi="宋体"/>
          <w:bCs/>
        </w:rPr>
      </w:pPr>
      <w:r>
        <w:rPr>
          <w:rFonts w:hint="eastAsia" w:ascii="宋体" w:hAnsi="宋体"/>
          <w:bCs/>
        </w:rPr>
        <w:t>五、设备/软件安装（含维修）的施工人员在</w:t>
      </w:r>
      <w:r>
        <w:rPr>
          <w:rFonts w:hint="eastAsia" w:ascii="宋体" w:hAnsi="宋体"/>
          <w:bCs/>
          <w:u w:val="single"/>
        </w:rPr>
        <w:t>南京市疾病预防控制中心</w:t>
      </w:r>
      <w:r>
        <w:rPr>
          <w:rFonts w:hint="eastAsia" w:ascii="宋体" w:hAnsi="宋体"/>
          <w:bCs/>
        </w:rPr>
        <w:t>施工过程中，应当遵守有关安全生产的法律、法规和建筑行业的安全规章（规程），不得违章指挥或违章作业。</w:t>
      </w:r>
    </w:p>
    <w:p>
      <w:pPr>
        <w:spacing w:line="400" w:lineRule="exact"/>
        <w:ind w:firstLine="420" w:firstLineChars="200"/>
        <w:rPr>
          <w:rFonts w:ascii="宋体" w:hAnsi="宋体"/>
          <w:bCs/>
        </w:rPr>
      </w:pPr>
      <w:r>
        <w:rPr>
          <w:rFonts w:hint="eastAsia" w:ascii="宋体" w:hAnsi="宋体"/>
          <w:bCs/>
        </w:rPr>
        <w:t>六、设备/软件安装（含维修）单位应当在施工现场采取维护安全、防范危险、预防火灾等措施，施工现场对毗邻的建筑、构筑物、其他设备和特殊作业环境可能造成伤害的，设备/软件安装（含维修）单位应当采取措施加以保护。设备/软件安装（含维修）单位在施工现场应注意对现场施工人员、医护人员、就诊患者及家属的安全防护，做好场地围挡、现场维护。</w:t>
      </w:r>
    </w:p>
    <w:p>
      <w:pPr>
        <w:spacing w:line="400" w:lineRule="exact"/>
        <w:ind w:firstLine="420" w:firstLineChars="200"/>
        <w:rPr>
          <w:rFonts w:ascii="宋体" w:hAnsi="宋体"/>
          <w:bCs/>
        </w:rPr>
      </w:pPr>
      <w:r>
        <w:rPr>
          <w:rFonts w:hint="eastAsia" w:ascii="宋体" w:hAnsi="宋体"/>
          <w:bCs/>
        </w:rPr>
        <w:t>七、设备/软件安装（含维修）单位应加强对在</w:t>
      </w:r>
      <w:r>
        <w:rPr>
          <w:rFonts w:hint="eastAsia" w:ascii="宋体" w:hAnsi="宋体"/>
          <w:bCs/>
          <w:u w:val="single"/>
        </w:rPr>
        <w:t>南京市疾病预防控制中心</w:t>
      </w:r>
      <w:r>
        <w:rPr>
          <w:rFonts w:hint="eastAsia" w:ascii="宋体" w:hAnsi="宋体"/>
          <w:bCs/>
        </w:rPr>
        <w:t>施工的工程人员的管理，并将在我单位施工的所有工作人员名单上报到</w:t>
      </w:r>
      <w:r>
        <w:rPr>
          <w:rFonts w:hint="eastAsia" w:ascii="宋体" w:hAnsi="宋体"/>
          <w:u w:val="single"/>
        </w:rPr>
        <w:t>南京市疾病预防控制中心</w:t>
      </w:r>
      <w:r>
        <w:rPr>
          <w:rFonts w:hint="eastAsia" w:ascii="宋体" w:hAnsi="宋体"/>
          <w:bCs/>
        </w:rPr>
        <w:t>备案，接受甲方动态监督。</w:t>
      </w:r>
    </w:p>
    <w:p>
      <w:pPr>
        <w:spacing w:line="400" w:lineRule="exact"/>
        <w:ind w:firstLine="420" w:firstLineChars="200"/>
        <w:rPr>
          <w:rFonts w:ascii="宋体" w:hAnsi="宋体"/>
          <w:bCs/>
        </w:rPr>
      </w:pPr>
      <w:r>
        <w:rPr>
          <w:rFonts w:hint="eastAsia" w:ascii="宋体" w:hAnsi="宋体"/>
          <w:bCs/>
        </w:rPr>
        <w:t>九、设备/软件安装（含维修）单位因违反上述规定引起事故、造成人员伤亡及财产损失的，由设备/软件安装（含维修）单位负全部责任，并承担受损单位的经济赔偿责任，对屡教不改的设备/软件安装（含维修）单位，甲方有权中止采购合同。</w:t>
      </w:r>
    </w:p>
    <w:p>
      <w:pPr>
        <w:spacing w:line="400" w:lineRule="exact"/>
        <w:ind w:firstLine="420" w:firstLineChars="200"/>
        <w:rPr>
          <w:rFonts w:ascii="宋体" w:hAnsi="宋体"/>
          <w:bCs/>
        </w:rPr>
      </w:pPr>
      <w:r>
        <w:rPr>
          <w:rFonts w:hint="eastAsia" w:ascii="宋体" w:hAnsi="宋体"/>
          <w:bCs/>
        </w:rPr>
        <w:t>十、请认真阅读以上规定，签字（盖章）后，表示已同意遵守甲方有关消防、安全生产、治安保卫规定，甲方对本制度有最终解释权。</w:t>
      </w:r>
    </w:p>
    <w:p>
      <w:pPr>
        <w:ind w:left="1260" w:leftChars="600"/>
      </w:pPr>
    </w:p>
    <w:p>
      <w:pPr>
        <w:spacing w:line="400" w:lineRule="exact"/>
        <w:ind w:firstLine="4200" w:firstLineChars="2000"/>
        <w:rPr>
          <w:rFonts w:ascii="宋体" w:hAnsi="宋体"/>
          <w:bCs/>
        </w:rPr>
      </w:pPr>
      <w:r>
        <w:rPr>
          <w:rFonts w:hint="eastAsia" w:ascii="宋体" w:hAnsi="宋体"/>
          <w:bCs/>
        </w:rPr>
        <w:t xml:space="preserve">   </w:t>
      </w:r>
    </w:p>
    <w:p>
      <w:pPr>
        <w:spacing w:line="400" w:lineRule="exact"/>
        <w:ind w:firstLine="4620" w:firstLineChars="2200"/>
        <w:rPr>
          <w:rFonts w:ascii="宋体" w:hAnsi="宋体"/>
          <w:bCs/>
        </w:rPr>
      </w:pPr>
      <w:r>
        <w:rPr>
          <w:rFonts w:hint="eastAsia" w:ascii="宋体" w:hAnsi="宋体"/>
          <w:bCs/>
        </w:rPr>
        <w:t xml:space="preserve">项目经理（签字）： </w:t>
      </w:r>
    </w:p>
    <w:p>
      <w:pPr>
        <w:spacing w:line="400" w:lineRule="exact"/>
        <w:ind w:firstLine="4410" w:firstLineChars="2100"/>
        <w:rPr>
          <w:rFonts w:ascii="宋体" w:hAnsi="宋体"/>
          <w:bCs/>
        </w:rPr>
      </w:pPr>
      <w:r>
        <w:rPr>
          <w:rFonts w:hint="eastAsia" w:ascii="宋体" w:hAnsi="宋体"/>
          <w:bCs/>
        </w:rPr>
        <w:t>日 期：  年 月 日</w:t>
      </w:r>
    </w:p>
    <w:p>
      <w:pPr>
        <w:pStyle w:val="9"/>
        <w:numPr>
          <w:ilvl w:val="0"/>
          <w:numId w:val="0"/>
        </w:numPr>
        <w:ind w:leftChars="0" w:right="1470" w:rightChars="700"/>
        <w:jc w:val="center"/>
        <w:rPr>
          <w:rFonts w:hint="eastAsia"/>
          <w:b/>
          <w:bCs/>
          <w:lang w:val="en-US" w:eastAsia="zh-CN"/>
        </w:rPr>
      </w:pPr>
      <w:r>
        <w:rPr>
          <w:rFonts w:ascii="宋体" w:hAnsi="宋体" w:cs="宋体"/>
          <w:color w:val="000000"/>
          <w:kern w:val="0"/>
          <w:lang w:bidi="zh-CN"/>
        </w:rPr>
        <w:br w:type="page"/>
      </w:r>
      <w:r>
        <w:rPr>
          <w:rFonts w:hint="eastAsia"/>
          <w:b/>
          <w:bCs/>
          <w:sz w:val="36"/>
          <w:szCs w:val="44"/>
          <w:lang w:val="en-US" w:eastAsia="zh-CN"/>
        </w:rPr>
        <w:t>廉洁协议书</w:t>
      </w:r>
    </w:p>
    <w:p>
      <w:pPr>
        <w:pStyle w:val="51"/>
        <w:spacing w:line="300" w:lineRule="auto"/>
        <w:ind w:firstLine="420" w:firstLineChars="200"/>
        <w:rPr>
          <w:rFonts w:hint="default" w:ascii="宋体" w:hAnsi="宋体" w:eastAsia="宋体" w:cs="Times New Roman"/>
          <w:sz w:val="21"/>
          <w:szCs w:val="21"/>
          <w:lang w:val="en-US" w:eastAsia="zh-CN"/>
        </w:rPr>
      </w:pP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 xml:space="preserve">  南京市疾病预防控制中心</w:t>
      </w:r>
    </w:p>
    <w:p>
      <w:pPr>
        <w:pStyle w:val="51"/>
        <w:spacing w:line="300" w:lineRule="auto"/>
        <w:ind w:firstLine="420" w:firstLineChars="200"/>
        <w:rPr>
          <w:rFonts w:hint="eastAsia" w:ascii="宋体" w:hAnsi="宋体" w:eastAsia="宋体" w:cs="Times New Roman"/>
          <w:sz w:val="21"/>
          <w:szCs w:val="21"/>
        </w:rPr>
      </w:pPr>
    </w:p>
    <w:p>
      <w:pPr>
        <w:pStyle w:val="51"/>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乙方:</w:t>
      </w:r>
      <w:r>
        <w:rPr>
          <w:rFonts w:hint="eastAsia" w:ascii="宋体" w:hAnsi="宋体" w:eastAsia="宋体" w:cs="Times New Roman"/>
          <w:sz w:val="21"/>
          <w:szCs w:val="21"/>
          <w:lang w:val="en-US" w:eastAsia="zh-CN"/>
        </w:rPr>
        <w:t xml:space="preserve">        </w:t>
      </w:r>
    </w:p>
    <w:p>
      <w:pPr>
        <w:pStyle w:val="51"/>
        <w:spacing w:line="300" w:lineRule="auto"/>
        <w:ind w:firstLine="420" w:firstLineChars="200"/>
        <w:rPr>
          <w:rFonts w:hint="eastAsia" w:ascii="宋体" w:hAnsi="宋体" w:eastAsia="宋体" w:cs="Times New Roman"/>
          <w:sz w:val="21"/>
          <w:szCs w:val="21"/>
        </w:rPr>
      </w:pPr>
    </w:p>
    <w:p>
      <w:pPr>
        <w:pStyle w:val="51"/>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rPr>
        <w:t>为</w:t>
      </w:r>
      <w:r>
        <w:rPr>
          <w:rFonts w:hint="eastAsia" w:ascii="宋体" w:hAnsi="宋体" w:eastAsia="宋体" w:cs="Times New Roman"/>
          <w:sz w:val="21"/>
          <w:szCs w:val="21"/>
          <w:lang w:val="en-US" w:eastAsia="zh-CN"/>
        </w:rPr>
        <w:t>进一步加强医疗卫生行风建设，切实纠正各类招标和采购等经济活动中的不正之风，规范采购行为，有效防范商业贿赂行为，营造公平交易、诚实守信的环境，</w:t>
      </w:r>
      <w:r>
        <w:rPr>
          <w:rFonts w:hint="eastAsia" w:ascii="宋体" w:hAnsi="宋体" w:eastAsia="宋体" w:cs="Times New Roman"/>
          <w:sz w:val="21"/>
          <w:szCs w:val="21"/>
        </w:rPr>
        <w:t>现经双方协商</w:t>
      </w:r>
      <w:r>
        <w:rPr>
          <w:rFonts w:hint="eastAsia" w:ascii="宋体" w:hAnsi="宋体" w:eastAsia="宋体" w:cs="Times New Roman"/>
          <w:sz w:val="21"/>
          <w:szCs w:val="21"/>
          <w:lang w:val="en-US" w:eastAsia="zh-CN"/>
        </w:rPr>
        <w:t>共同遵守：</w:t>
      </w:r>
    </w:p>
    <w:p>
      <w:pPr>
        <w:pStyle w:val="51"/>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1、</w:t>
      </w:r>
      <w:r>
        <w:rPr>
          <w:rFonts w:hint="eastAsia" w:ascii="宋体" w:hAnsi="宋体" w:eastAsia="宋体" w:cs="Times New Roman"/>
          <w:sz w:val="21"/>
          <w:szCs w:val="21"/>
        </w:rPr>
        <w:t>甲乙双方在各种招</w:t>
      </w:r>
      <w:r>
        <w:rPr>
          <w:rFonts w:hint="eastAsia" w:ascii="宋体" w:hAnsi="宋体" w:eastAsia="宋体" w:cs="Times New Roman"/>
          <w:sz w:val="21"/>
          <w:szCs w:val="21"/>
          <w:lang w:val="en-US" w:eastAsia="zh-CN"/>
        </w:rPr>
        <w:t>投</w:t>
      </w:r>
      <w:r>
        <w:rPr>
          <w:rFonts w:hint="eastAsia" w:ascii="宋体" w:hAnsi="宋体" w:eastAsia="宋体" w:cs="Times New Roman"/>
          <w:sz w:val="21"/>
          <w:szCs w:val="21"/>
        </w:rPr>
        <w:t>标、采购等经济活动中，严格执行有关部门的</w:t>
      </w:r>
      <w:r>
        <w:rPr>
          <w:rFonts w:hint="eastAsia" w:ascii="宋体" w:hAnsi="宋体" w:eastAsia="宋体" w:cs="Times New Roman"/>
          <w:sz w:val="21"/>
          <w:szCs w:val="21"/>
          <w:lang w:val="en-US" w:eastAsia="zh-CN"/>
        </w:rPr>
        <w:t>相</w:t>
      </w:r>
      <w:r>
        <w:rPr>
          <w:rFonts w:hint="eastAsia" w:ascii="宋体" w:hAnsi="宋体" w:eastAsia="宋体" w:cs="Times New Roman"/>
          <w:sz w:val="21"/>
          <w:szCs w:val="21"/>
        </w:rPr>
        <w:t>关规定，遵守法律法规，规范操作程序，</w:t>
      </w:r>
      <w:r>
        <w:rPr>
          <w:rFonts w:hint="eastAsia" w:ascii="宋体" w:hAnsi="宋体" w:eastAsia="宋体" w:cs="Times New Roman"/>
          <w:sz w:val="21"/>
          <w:szCs w:val="21"/>
          <w:lang w:val="en-US" w:eastAsia="zh-CN"/>
        </w:rPr>
        <w:t>公开</w:t>
      </w:r>
      <w:r>
        <w:rPr>
          <w:rFonts w:hint="eastAsia" w:ascii="宋体" w:hAnsi="宋体" w:eastAsia="宋体" w:cs="Times New Roman"/>
          <w:sz w:val="21"/>
          <w:szCs w:val="21"/>
        </w:rPr>
        <w:t>公平公正交易，践行</w:t>
      </w:r>
      <w:r>
        <w:rPr>
          <w:rFonts w:hint="eastAsia" w:ascii="宋体" w:hAnsi="宋体" w:eastAsia="宋体" w:cs="Times New Roman"/>
          <w:sz w:val="21"/>
          <w:szCs w:val="21"/>
          <w:lang w:val="en-US" w:eastAsia="zh-CN"/>
        </w:rPr>
        <w:t>采购</w:t>
      </w:r>
      <w:r>
        <w:rPr>
          <w:rFonts w:hint="eastAsia" w:ascii="宋体" w:hAnsi="宋体" w:eastAsia="宋体" w:cs="Times New Roman"/>
          <w:sz w:val="21"/>
          <w:szCs w:val="21"/>
        </w:rPr>
        <w:t>合同</w:t>
      </w:r>
      <w:r>
        <w:rPr>
          <w:rFonts w:hint="eastAsia" w:ascii="宋体" w:hAnsi="宋体" w:eastAsia="宋体" w:cs="Times New Roman"/>
          <w:sz w:val="21"/>
          <w:szCs w:val="21"/>
          <w:lang w:val="en-US" w:eastAsia="zh-CN"/>
        </w:rPr>
        <w:t>的</w:t>
      </w:r>
      <w:r>
        <w:rPr>
          <w:rFonts w:hint="eastAsia" w:ascii="宋体" w:hAnsi="宋体" w:eastAsia="宋体" w:cs="Times New Roman"/>
          <w:sz w:val="21"/>
          <w:szCs w:val="21"/>
        </w:rPr>
        <w:t>承诺。</w:t>
      </w:r>
    </w:p>
    <w:p>
      <w:pPr>
        <w:pStyle w:val="51"/>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2、</w:t>
      </w:r>
      <w:r>
        <w:rPr>
          <w:rFonts w:hint="eastAsia" w:ascii="宋体" w:hAnsi="宋体" w:eastAsia="宋体" w:cs="Times New Roman"/>
          <w:sz w:val="21"/>
          <w:szCs w:val="21"/>
        </w:rPr>
        <w:t>甲乙双方人员不准私下洽谈业务，不准组织可能影响公正执行公务的各类活动，不准违反规定私自向对方提供内部信息和个人承诺，不准在合同之外私定潜规则。</w:t>
      </w:r>
    </w:p>
    <w:p>
      <w:pPr>
        <w:pStyle w:val="51"/>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严禁接受乙方以任何名义、形式给予的回扣，不得将接受捐赠资助与采购挂钩。甲方工作人员不得参加</w:t>
      </w:r>
      <w:r>
        <w:rPr>
          <w:rFonts w:hint="eastAsia" w:ascii="宋体" w:hAnsi="宋体" w:eastAsia="宋体" w:cs="Times New Roman"/>
          <w:sz w:val="21"/>
          <w:szCs w:val="21"/>
        </w:rPr>
        <w:t>乙方安排的可能影响相关业务公开、公正、公平性的宴请和娱乐活动;不</w:t>
      </w:r>
      <w:r>
        <w:rPr>
          <w:rFonts w:hint="eastAsia" w:ascii="宋体" w:hAnsi="宋体" w:eastAsia="宋体" w:cs="Times New Roman"/>
          <w:sz w:val="21"/>
          <w:szCs w:val="21"/>
          <w:lang w:val="en-US" w:eastAsia="zh-CN"/>
        </w:rPr>
        <w:t>得以任何形式向乙方索要现金、支付凭证或贵重礼品等。被迫接受乙方给予的钱物，应予退还，无法退还的，有责任如实向有关纪检监察部门反映情况。</w:t>
      </w:r>
    </w:p>
    <w:p>
      <w:pPr>
        <w:pStyle w:val="51"/>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r>
        <w:rPr>
          <w:rFonts w:hint="eastAsia" w:ascii="宋体" w:hAnsi="宋体" w:eastAsia="宋体" w:cs="Times New Roman"/>
          <w:sz w:val="21"/>
          <w:szCs w:val="21"/>
        </w:rPr>
        <w:t>、乙方不得以任何理由向甲方及其工作人员行贿或馈赠礼金、有价证券、贵重礼品，或报销应由甲方单位或个人支付的任何费用</w:t>
      </w:r>
      <w:r>
        <w:rPr>
          <w:rFonts w:hint="eastAsia" w:ascii="宋体" w:hAnsi="宋体" w:eastAsia="宋体" w:cs="Times New Roman"/>
          <w:sz w:val="21"/>
          <w:szCs w:val="21"/>
          <w:lang w:eastAsia="zh-CN"/>
        </w:rPr>
        <w:t>。</w:t>
      </w:r>
      <w:r>
        <w:rPr>
          <w:rFonts w:hint="eastAsia" w:ascii="宋体" w:hAnsi="宋体" w:eastAsia="宋体" w:cs="Times New Roman"/>
          <w:sz w:val="21"/>
          <w:szCs w:val="21"/>
        </w:rPr>
        <w:t>乙方不得以任何</w:t>
      </w:r>
      <w:r>
        <w:rPr>
          <w:rFonts w:hint="eastAsia" w:ascii="宋体" w:hAnsi="宋体" w:eastAsia="宋体" w:cs="Times New Roman"/>
          <w:sz w:val="21"/>
          <w:szCs w:val="21"/>
          <w:lang w:val="en-US" w:eastAsia="zh-CN"/>
        </w:rPr>
        <w:t>以回扣、宴请等方式</w:t>
      </w:r>
      <w:r>
        <w:rPr>
          <w:rFonts w:hint="eastAsia" w:ascii="宋体" w:hAnsi="宋体" w:eastAsia="宋体" w:cs="Times New Roman"/>
          <w:sz w:val="21"/>
          <w:szCs w:val="21"/>
        </w:rPr>
        <w:t>影响</w:t>
      </w:r>
      <w:r>
        <w:rPr>
          <w:rFonts w:hint="eastAsia" w:ascii="宋体" w:hAnsi="宋体" w:eastAsia="宋体" w:cs="Times New Roman"/>
          <w:sz w:val="21"/>
          <w:szCs w:val="21"/>
          <w:lang w:val="en-US" w:eastAsia="zh-CN"/>
        </w:rPr>
        <w:t>甲方工作人员采购或使用设备的选择权，不得在学术活动中提供旅游、超标准支付住宿费用等。</w:t>
      </w:r>
    </w:p>
    <w:p>
      <w:pPr>
        <w:pStyle w:val="51"/>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5、甲方如有违反廉政规定的行为，乙方可向甲方上级主管单位或有关部门举报投诉，并配合调查处理。</w:t>
      </w:r>
    </w:p>
    <w:p>
      <w:pPr>
        <w:pStyle w:val="51"/>
        <w:spacing w:line="30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lang w:val="en-US" w:eastAsia="zh-CN"/>
        </w:rPr>
        <w:t>6、乙方如有违法违规促销和不按规定履约行为，甲方有权按有关规定停止与乙方1-2年的采购活动或中断与乙方的其他业务关系，并向上级卫生行政部门举报</w:t>
      </w:r>
      <w:r>
        <w:rPr>
          <w:rFonts w:hint="eastAsia" w:ascii="宋体" w:hAnsi="宋体" w:eastAsia="宋体" w:cs="Times New Roman"/>
          <w:sz w:val="21"/>
          <w:szCs w:val="21"/>
        </w:rPr>
        <w:t>。</w:t>
      </w:r>
    </w:p>
    <w:p>
      <w:pPr>
        <w:pStyle w:val="51"/>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7、本协议作为采购合同的重要组成部分，与采购合同一并执行，具有同等法律效力。</w:t>
      </w:r>
    </w:p>
    <w:tbl>
      <w:tblPr>
        <w:tblStyle w:val="24"/>
        <w:tblpPr w:leftFromText="180" w:rightFromText="180" w:vertAnchor="text" w:horzAnchor="page" w:tblpX="1833" w:tblpY="490"/>
        <w:tblOverlap w:val="never"/>
        <w:tblW w:w="8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10"/>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4310" w:type="dxa"/>
            <w:noWrap w:val="0"/>
            <w:vAlign w:val="top"/>
          </w:tcPr>
          <w:p>
            <w:pPr>
              <w:pStyle w:val="51"/>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甲方:</w:t>
            </w:r>
            <w:r>
              <w:rPr>
                <w:rFonts w:hint="eastAsia" w:ascii="宋体" w:hAnsi="宋体" w:eastAsia="宋体" w:cs="Times New Roman"/>
                <w:sz w:val="21"/>
                <w:szCs w:val="21"/>
                <w:lang w:val="en-US" w:eastAsia="zh-CN"/>
              </w:rPr>
              <w:t>南京市疾病预防控制中心（盖章）</w:t>
            </w:r>
          </w:p>
        </w:tc>
        <w:tc>
          <w:tcPr>
            <w:tcW w:w="4310" w:type="dxa"/>
            <w:noWrap w:val="0"/>
            <w:vAlign w:val="top"/>
          </w:tcPr>
          <w:p>
            <w:pPr>
              <w:pStyle w:val="51"/>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乙方:</w:t>
            </w: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lang w:val="zh-CN"/>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pPr>
              <w:pStyle w:val="51"/>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法定或委托代表人签名:</w:t>
            </w:r>
          </w:p>
        </w:tc>
        <w:tc>
          <w:tcPr>
            <w:tcW w:w="4310" w:type="dxa"/>
            <w:noWrap w:val="0"/>
            <w:vAlign w:val="top"/>
          </w:tcPr>
          <w:p>
            <w:pPr>
              <w:pStyle w:val="51"/>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法定或委托代表人签名: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pPr>
              <w:pStyle w:val="51"/>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地址:</w:t>
            </w:r>
            <w:r>
              <w:rPr>
                <w:rFonts w:hint="eastAsia" w:ascii="宋体" w:hAnsi="宋体" w:eastAsia="宋体" w:cs="Times New Roman"/>
                <w:sz w:val="21"/>
                <w:szCs w:val="21"/>
                <w:lang w:val="en-US" w:eastAsia="zh-CN"/>
              </w:rPr>
              <w:t>南京市鼓楼区紫竹林2号</w:t>
            </w:r>
          </w:p>
        </w:tc>
        <w:tc>
          <w:tcPr>
            <w:tcW w:w="4310" w:type="dxa"/>
            <w:noWrap w:val="0"/>
            <w:vAlign w:val="top"/>
          </w:tcPr>
          <w:p>
            <w:pPr>
              <w:pStyle w:val="51"/>
              <w:widowControl w:val="0"/>
              <w:spacing w:line="300" w:lineRule="auto"/>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rPr>
              <w:t>地</w:t>
            </w:r>
            <w:r>
              <w:rPr>
                <w:rFonts w:hint="eastAsia" w:ascii="宋体" w:hAnsi="宋体" w:eastAsia="宋体" w:cs="Times New Roman"/>
                <w:sz w:val="21"/>
                <w:szCs w:val="21"/>
                <w:lang w:val="zh-CN"/>
              </w:rPr>
              <w:t>址:</w:t>
            </w:r>
            <w:r>
              <w:rPr>
                <w:rFonts w:hint="eastAsia" w:ascii="宋体" w:hAnsi="宋体" w:eastAsia="宋体"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4310" w:type="dxa"/>
            <w:noWrap w:val="0"/>
            <w:vAlign w:val="top"/>
          </w:tcPr>
          <w:p>
            <w:pPr>
              <w:pStyle w:val="51"/>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电话：02583538375</w:t>
            </w:r>
          </w:p>
        </w:tc>
        <w:tc>
          <w:tcPr>
            <w:tcW w:w="4310" w:type="dxa"/>
            <w:noWrap w:val="0"/>
            <w:vAlign w:val="top"/>
          </w:tcPr>
          <w:p>
            <w:pPr>
              <w:pStyle w:val="51"/>
              <w:widowControl w:val="0"/>
              <w:spacing w:line="300" w:lineRule="auto"/>
              <w:jc w:val="both"/>
              <w:rPr>
                <w:rFonts w:hint="eastAsia" w:ascii="宋体" w:hAnsi="宋体" w:eastAsia="宋体" w:cs="Times New Roman"/>
                <w:sz w:val="21"/>
                <w:szCs w:val="21"/>
                <w:lang w:val="en-US" w:eastAsia="zh-CN"/>
              </w:rPr>
            </w:pPr>
            <w:r>
              <w:rPr>
                <w:rFonts w:hint="eastAsia" w:ascii="宋体" w:hAnsi="宋体" w:eastAsia="宋体" w:cs="Times New Roman"/>
                <w:sz w:val="21"/>
                <w:szCs w:val="21"/>
                <w:lang w:val="zh-CN"/>
              </w:rPr>
              <w:t>电话：</w:t>
            </w:r>
            <w:r>
              <w:rPr>
                <w:rFonts w:hint="eastAsia" w:ascii="宋体" w:hAnsi="宋体" w:eastAsia="宋体"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8620" w:type="dxa"/>
            <w:gridSpan w:val="2"/>
            <w:noWrap w:val="0"/>
            <w:vAlign w:val="top"/>
          </w:tcPr>
          <w:p>
            <w:pPr>
              <w:pStyle w:val="51"/>
              <w:widowControl w:val="0"/>
              <w:spacing w:line="300" w:lineRule="auto"/>
              <w:jc w:val="both"/>
              <w:rPr>
                <w:rFonts w:hint="default" w:ascii="宋体" w:hAnsi="宋体" w:eastAsia="宋体" w:cs="Times New Roman"/>
                <w:sz w:val="21"/>
                <w:szCs w:val="21"/>
                <w:lang w:val="en-US" w:eastAsia="zh-CN"/>
              </w:rPr>
            </w:pPr>
            <w:r>
              <w:rPr>
                <w:rFonts w:hint="eastAsia" w:ascii="宋体" w:hAnsi="宋体" w:eastAsia="宋体" w:cs="Times New Roman"/>
                <w:sz w:val="21"/>
                <w:szCs w:val="21"/>
              </w:rPr>
              <w:t xml:space="preserve">签订日期: </w:t>
            </w:r>
            <w:r>
              <w:rPr>
                <w:rFonts w:hint="eastAsia" w:ascii="宋体" w:hAnsi="宋体" w:eastAsia="宋体" w:cs="Times New Roman"/>
                <w:sz w:val="21"/>
                <w:szCs w:val="21"/>
                <w:lang w:val="en-US" w:eastAsia="zh-CN"/>
              </w:rPr>
              <w:t xml:space="preserve">    </w:t>
            </w:r>
          </w:p>
        </w:tc>
      </w:tr>
    </w:tbl>
    <w:p>
      <w:pPr>
        <w:pStyle w:val="51"/>
        <w:spacing w:line="30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8、本协议一式两份，甲乙双方各执一份。</w:t>
      </w:r>
    </w:p>
    <w:p>
      <w:pPr>
        <w:widowControl/>
        <w:spacing w:line="360" w:lineRule="auto"/>
        <w:rPr>
          <w:rFonts w:ascii="宋体" w:hAnsi="宋体" w:cs="宋体"/>
          <w:color w:val="000000"/>
          <w:kern w:val="0"/>
          <w:lang w:bidi="zh-CN"/>
        </w:rPr>
      </w:pPr>
    </w:p>
    <w:sectPr>
      <w:footerReference r:id="rId3" w:type="default"/>
      <w:pgSz w:w="11906" w:h="16838"/>
      <w:pgMar w:top="1440" w:right="1800" w:bottom="1440" w:left="22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w:t>
    </w:r>
    <w:r>
      <w:rPr>
        <w:lang w:val="zh-CN"/>
      </w:rP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F118B0"/>
    <w:rsid w:val="000A2DCA"/>
    <w:rsid w:val="00154879"/>
    <w:rsid w:val="00251D99"/>
    <w:rsid w:val="00277D17"/>
    <w:rsid w:val="00300E74"/>
    <w:rsid w:val="003223EF"/>
    <w:rsid w:val="003B61D2"/>
    <w:rsid w:val="00431346"/>
    <w:rsid w:val="00470E08"/>
    <w:rsid w:val="004C0495"/>
    <w:rsid w:val="00647CA8"/>
    <w:rsid w:val="006D1DAD"/>
    <w:rsid w:val="00747E87"/>
    <w:rsid w:val="007D0FB7"/>
    <w:rsid w:val="00963ED7"/>
    <w:rsid w:val="009C1583"/>
    <w:rsid w:val="009C58EB"/>
    <w:rsid w:val="00A12562"/>
    <w:rsid w:val="00A5027D"/>
    <w:rsid w:val="00A77D77"/>
    <w:rsid w:val="00A92D0F"/>
    <w:rsid w:val="00AC22AB"/>
    <w:rsid w:val="00BD4568"/>
    <w:rsid w:val="00CE3DD5"/>
    <w:rsid w:val="00D704DE"/>
    <w:rsid w:val="00E44AA0"/>
    <w:rsid w:val="00E82DA3"/>
    <w:rsid w:val="00E96C18"/>
    <w:rsid w:val="00F118B0"/>
    <w:rsid w:val="00F86032"/>
    <w:rsid w:val="011C44BE"/>
    <w:rsid w:val="06916975"/>
    <w:rsid w:val="06B8675D"/>
    <w:rsid w:val="0F71619C"/>
    <w:rsid w:val="0F911F40"/>
    <w:rsid w:val="11FD79F3"/>
    <w:rsid w:val="1570619E"/>
    <w:rsid w:val="1ECF5B11"/>
    <w:rsid w:val="229E7671"/>
    <w:rsid w:val="2AA65B04"/>
    <w:rsid w:val="2B16049E"/>
    <w:rsid w:val="30D757C1"/>
    <w:rsid w:val="32B151A8"/>
    <w:rsid w:val="3C1934F8"/>
    <w:rsid w:val="478D6B48"/>
    <w:rsid w:val="4BD9607B"/>
    <w:rsid w:val="518B4840"/>
    <w:rsid w:val="58ED2258"/>
    <w:rsid w:val="5B5D7C33"/>
    <w:rsid w:val="60E170B6"/>
    <w:rsid w:val="66A34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autoRedefine/>
    <w:qFormat/>
    <w:uiPriority w:val="9"/>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autoRedefine/>
    <w:qFormat/>
    <w:uiPriority w:val="0"/>
    <w:pPr>
      <w:spacing w:line="400" w:lineRule="exact"/>
      <w:ind w:firstLine="480" w:firstLineChars="200"/>
    </w:pPr>
  </w:style>
  <w:style w:type="paragraph" w:styleId="6">
    <w:name w:val="Normal Indent"/>
    <w:basedOn w:val="1"/>
    <w:autoRedefine/>
    <w:qFormat/>
    <w:uiPriority w:val="99"/>
    <w:pPr>
      <w:ind w:firstLine="420" w:firstLineChars="200"/>
    </w:pPr>
  </w:style>
  <w:style w:type="paragraph" w:styleId="7">
    <w:name w:val="annotation text"/>
    <w:basedOn w:val="1"/>
    <w:link w:val="31"/>
    <w:autoRedefine/>
    <w:qFormat/>
    <w:uiPriority w:val="99"/>
    <w:pPr>
      <w:jc w:val="left"/>
    </w:pPr>
  </w:style>
  <w:style w:type="paragraph" w:styleId="8">
    <w:name w:val="Body Text"/>
    <w:basedOn w:val="1"/>
    <w:autoRedefine/>
    <w:qFormat/>
    <w:uiPriority w:val="99"/>
    <w:pPr>
      <w:spacing w:after="120"/>
    </w:pPr>
    <w:rPr>
      <w:kern w:val="0"/>
      <w:sz w:val="24"/>
    </w:rPr>
  </w:style>
  <w:style w:type="paragraph" w:styleId="9">
    <w:name w:val="Block Text"/>
    <w:basedOn w:val="1"/>
    <w:autoRedefine/>
    <w:qFormat/>
    <w:uiPriority w:val="0"/>
    <w:pPr>
      <w:spacing w:line="360" w:lineRule="auto"/>
    </w:pPr>
  </w:style>
  <w:style w:type="paragraph" w:styleId="10">
    <w:name w:val="index 4"/>
    <w:basedOn w:val="1"/>
    <w:next w:val="1"/>
    <w:autoRedefine/>
    <w:qFormat/>
    <w:uiPriority w:val="99"/>
    <w:pPr>
      <w:ind w:left="600" w:leftChars="600"/>
    </w:pPr>
  </w:style>
  <w:style w:type="paragraph" w:styleId="11">
    <w:name w:val="toc 3"/>
    <w:basedOn w:val="1"/>
    <w:next w:val="1"/>
    <w:autoRedefine/>
    <w:qFormat/>
    <w:uiPriority w:val="39"/>
    <w:pPr>
      <w:widowControl/>
      <w:spacing w:after="100" w:line="259" w:lineRule="auto"/>
      <w:ind w:left="440"/>
      <w:jc w:val="left"/>
    </w:pPr>
    <w:rPr>
      <w:rFonts w:ascii="Calibri" w:hAnsi="Calibri"/>
      <w:kern w:val="0"/>
      <w:sz w:val="22"/>
      <w:szCs w:val="22"/>
    </w:rPr>
  </w:style>
  <w:style w:type="paragraph" w:styleId="12">
    <w:name w:val="Plain Text"/>
    <w:basedOn w:val="1"/>
    <w:link w:val="32"/>
    <w:autoRedefine/>
    <w:qFormat/>
    <w:uiPriority w:val="0"/>
    <w:rPr>
      <w:rFonts w:ascii="宋体" w:hAnsi="Courier New" w:cs="宋体"/>
      <w:szCs w:val="22"/>
    </w:rPr>
  </w:style>
  <w:style w:type="paragraph" w:styleId="13">
    <w:name w:val="Date"/>
    <w:basedOn w:val="1"/>
    <w:next w:val="1"/>
    <w:link w:val="33"/>
    <w:autoRedefine/>
    <w:qFormat/>
    <w:uiPriority w:val="0"/>
    <w:pPr>
      <w:adjustRightInd w:val="0"/>
      <w:spacing w:line="360" w:lineRule="atLeast"/>
      <w:textAlignment w:val="baseline"/>
    </w:pPr>
    <w:rPr>
      <w:rFonts w:ascii="宋体" w:cs="宋体"/>
      <w:kern w:val="0"/>
      <w:sz w:val="24"/>
      <w:szCs w:val="24"/>
    </w:rPr>
  </w:style>
  <w:style w:type="paragraph" w:styleId="14">
    <w:name w:val="Balloon Text"/>
    <w:basedOn w:val="1"/>
    <w:link w:val="34"/>
    <w:autoRedefine/>
    <w:qFormat/>
    <w:uiPriority w:val="99"/>
    <w:rPr>
      <w:sz w:val="18"/>
      <w:szCs w:val="18"/>
    </w:rPr>
  </w:style>
  <w:style w:type="paragraph" w:styleId="15">
    <w:name w:val="footer"/>
    <w:basedOn w:val="1"/>
    <w:link w:val="35"/>
    <w:autoRedefine/>
    <w:qFormat/>
    <w:uiPriority w:val="99"/>
    <w:pPr>
      <w:tabs>
        <w:tab w:val="center" w:pos="4153"/>
        <w:tab w:val="right" w:pos="8306"/>
      </w:tabs>
      <w:snapToGrid w:val="0"/>
      <w:jc w:val="left"/>
    </w:pPr>
    <w:rPr>
      <w:sz w:val="18"/>
      <w:szCs w:val="18"/>
    </w:rPr>
  </w:style>
  <w:style w:type="paragraph" w:styleId="16">
    <w:name w:val="header"/>
    <w:basedOn w:val="1"/>
    <w:link w:val="36"/>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widowControl/>
      <w:spacing w:after="100" w:line="259" w:lineRule="auto"/>
      <w:jc w:val="left"/>
    </w:pPr>
    <w:rPr>
      <w:rFonts w:ascii="Calibri" w:hAnsi="Calibri"/>
      <w:kern w:val="0"/>
      <w:sz w:val="22"/>
      <w:szCs w:val="22"/>
    </w:rPr>
  </w:style>
  <w:style w:type="paragraph" w:styleId="18">
    <w:name w:val="toc 2"/>
    <w:basedOn w:val="1"/>
    <w:next w:val="1"/>
    <w:autoRedefine/>
    <w:qFormat/>
    <w:uiPriority w:val="39"/>
    <w:pPr>
      <w:widowControl/>
      <w:spacing w:after="100" w:line="259" w:lineRule="auto"/>
      <w:ind w:left="220"/>
      <w:jc w:val="left"/>
    </w:pPr>
    <w:rPr>
      <w:rFonts w:ascii="Calibri" w:hAnsi="Calibri"/>
      <w:kern w:val="0"/>
      <w:sz w:val="22"/>
      <w:szCs w:val="22"/>
    </w:rPr>
  </w:style>
  <w:style w:type="paragraph" w:styleId="19">
    <w:name w:val="Body Text 2"/>
    <w:basedOn w:val="1"/>
    <w:link w:val="37"/>
    <w:autoRedefine/>
    <w:qFormat/>
    <w:uiPriority w:val="0"/>
    <w:pPr>
      <w:spacing w:after="120" w:line="480" w:lineRule="auto"/>
    </w:pPr>
  </w:style>
  <w:style w:type="paragraph" w:styleId="20">
    <w:name w:val="HTML Preformatted"/>
    <w:basedOn w:val="1"/>
    <w:link w:val="50"/>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7"/>
    <w:next w:val="7"/>
    <w:link w:val="38"/>
    <w:autoRedefine/>
    <w:qFormat/>
    <w:uiPriority w:val="99"/>
    <w:rPr>
      <w:b/>
      <w:bCs/>
    </w:r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autoRedefine/>
    <w:qFormat/>
    <w:uiPriority w:val="99"/>
    <w:rPr>
      <w:color w:val="0000FF"/>
      <w:u w:val="single"/>
    </w:rPr>
  </w:style>
  <w:style w:type="character" w:styleId="27">
    <w:name w:val="annotation reference"/>
    <w:basedOn w:val="25"/>
    <w:autoRedefine/>
    <w:qFormat/>
    <w:uiPriority w:val="99"/>
    <w:rPr>
      <w:sz w:val="21"/>
      <w:szCs w:val="21"/>
    </w:rPr>
  </w:style>
  <w:style w:type="paragraph" w:customStyle="1" w:styleId="28">
    <w:name w:val="首行缩进"/>
    <w:basedOn w:val="1"/>
    <w:autoRedefine/>
    <w:qFormat/>
    <w:uiPriority w:val="0"/>
    <w:pPr>
      <w:ind w:firstLine="480" w:firstLineChars="200"/>
    </w:pPr>
    <w:rPr>
      <w:rFonts w:ascii="Calibri" w:hAnsi="Calibri"/>
      <w:szCs w:val="20"/>
      <w:lang w:val="zh-CN"/>
    </w:rPr>
  </w:style>
  <w:style w:type="character" w:customStyle="1" w:styleId="29">
    <w:name w:val="标题 1 字符"/>
    <w:basedOn w:val="25"/>
    <w:link w:val="3"/>
    <w:autoRedefine/>
    <w:qFormat/>
    <w:uiPriority w:val="9"/>
    <w:rPr>
      <w:rFonts w:ascii="Times New Roman" w:hAnsi="Times New Roman" w:eastAsia="宋体" w:cs="Times New Roman"/>
      <w:b/>
      <w:bCs/>
      <w:kern w:val="44"/>
      <w:sz w:val="44"/>
      <w:szCs w:val="44"/>
    </w:rPr>
  </w:style>
  <w:style w:type="character" w:customStyle="1" w:styleId="30">
    <w:name w:val="标题 2 字符"/>
    <w:basedOn w:val="25"/>
    <w:link w:val="4"/>
    <w:qFormat/>
    <w:uiPriority w:val="0"/>
    <w:rPr>
      <w:rFonts w:ascii="Arial" w:hAnsi="Arial" w:eastAsia="黑体" w:cs="Arial"/>
      <w:b/>
      <w:bCs/>
      <w:sz w:val="32"/>
      <w:szCs w:val="32"/>
    </w:rPr>
  </w:style>
  <w:style w:type="character" w:customStyle="1" w:styleId="31">
    <w:name w:val="批注文字 字符"/>
    <w:basedOn w:val="25"/>
    <w:link w:val="7"/>
    <w:qFormat/>
    <w:uiPriority w:val="99"/>
    <w:rPr>
      <w:rFonts w:ascii="Times New Roman" w:hAnsi="Times New Roman" w:eastAsia="宋体" w:cs="Times New Roman"/>
      <w:szCs w:val="21"/>
    </w:rPr>
  </w:style>
  <w:style w:type="character" w:customStyle="1" w:styleId="32">
    <w:name w:val="纯文本 字符1"/>
    <w:basedOn w:val="25"/>
    <w:link w:val="12"/>
    <w:qFormat/>
    <w:uiPriority w:val="0"/>
    <w:rPr>
      <w:rFonts w:ascii="宋体" w:hAnsi="Courier New"/>
    </w:rPr>
  </w:style>
  <w:style w:type="character" w:customStyle="1" w:styleId="33">
    <w:name w:val="日期 字符"/>
    <w:basedOn w:val="25"/>
    <w:link w:val="13"/>
    <w:qFormat/>
    <w:uiPriority w:val="0"/>
    <w:rPr>
      <w:rFonts w:ascii="宋体" w:hAnsi="Times New Roman" w:eastAsia="宋体" w:cs="宋体"/>
      <w:kern w:val="0"/>
      <w:sz w:val="24"/>
      <w:szCs w:val="24"/>
    </w:rPr>
  </w:style>
  <w:style w:type="character" w:customStyle="1" w:styleId="34">
    <w:name w:val="批注框文本 字符"/>
    <w:basedOn w:val="25"/>
    <w:link w:val="14"/>
    <w:autoRedefine/>
    <w:qFormat/>
    <w:uiPriority w:val="99"/>
    <w:rPr>
      <w:rFonts w:ascii="Times New Roman" w:hAnsi="Times New Roman" w:eastAsia="宋体" w:cs="Times New Roman"/>
      <w:sz w:val="18"/>
      <w:szCs w:val="18"/>
    </w:rPr>
  </w:style>
  <w:style w:type="character" w:customStyle="1" w:styleId="35">
    <w:name w:val="页脚 字符"/>
    <w:basedOn w:val="25"/>
    <w:link w:val="15"/>
    <w:autoRedefine/>
    <w:qFormat/>
    <w:uiPriority w:val="99"/>
    <w:rPr>
      <w:sz w:val="18"/>
      <w:szCs w:val="18"/>
    </w:rPr>
  </w:style>
  <w:style w:type="character" w:customStyle="1" w:styleId="36">
    <w:name w:val="页眉 字符"/>
    <w:basedOn w:val="25"/>
    <w:link w:val="16"/>
    <w:autoRedefine/>
    <w:qFormat/>
    <w:uiPriority w:val="99"/>
    <w:rPr>
      <w:sz w:val="18"/>
      <w:szCs w:val="18"/>
    </w:rPr>
  </w:style>
  <w:style w:type="character" w:customStyle="1" w:styleId="37">
    <w:name w:val="正文文本 2 字符"/>
    <w:basedOn w:val="25"/>
    <w:link w:val="19"/>
    <w:autoRedefine/>
    <w:qFormat/>
    <w:uiPriority w:val="0"/>
    <w:rPr>
      <w:rFonts w:ascii="Times New Roman" w:hAnsi="Times New Roman" w:eastAsia="宋体" w:cs="Times New Roman"/>
      <w:szCs w:val="21"/>
    </w:rPr>
  </w:style>
  <w:style w:type="character" w:customStyle="1" w:styleId="38">
    <w:name w:val="批注主题 字符"/>
    <w:basedOn w:val="31"/>
    <w:link w:val="22"/>
    <w:autoRedefine/>
    <w:qFormat/>
    <w:uiPriority w:val="99"/>
    <w:rPr>
      <w:rFonts w:ascii="Times New Roman" w:hAnsi="Times New Roman" w:eastAsia="宋体" w:cs="Times New Roman"/>
      <w:b/>
      <w:bCs/>
      <w:szCs w:val="21"/>
    </w:rPr>
  </w:style>
  <w:style w:type="character" w:customStyle="1" w:styleId="39">
    <w:name w:val="纯文本 字符"/>
    <w:basedOn w:val="25"/>
    <w:autoRedefine/>
    <w:qFormat/>
    <w:uiPriority w:val="99"/>
    <w:rPr>
      <w:rFonts w:ascii="宋体" w:hAnsi="Courier New" w:cs="Courier New"/>
      <w:szCs w:val="21"/>
    </w:rPr>
  </w:style>
  <w:style w:type="paragraph" w:customStyle="1" w:styleId="40">
    <w:name w:val="列出段落1"/>
    <w:basedOn w:val="1"/>
    <w:autoRedefine/>
    <w:qFormat/>
    <w:uiPriority w:val="34"/>
    <w:pPr>
      <w:ind w:firstLine="420" w:firstLineChars="200"/>
    </w:pPr>
  </w:style>
  <w:style w:type="paragraph" w:customStyle="1" w:styleId="41">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42">
    <w:name w:val="TOC 标题1"/>
    <w:basedOn w:val="3"/>
    <w:next w:val="1"/>
    <w:autoRedefine/>
    <w:qFormat/>
    <w:uiPriority w:val="39"/>
    <w:pPr>
      <w:widowControl/>
      <w:spacing w:before="240" w:after="0" w:line="259" w:lineRule="auto"/>
      <w:jc w:val="left"/>
      <w:outlineLvl w:val="9"/>
    </w:pPr>
    <w:rPr>
      <w:rFonts w:ascii="Cambria" w:hAnsi="Cambria" w:cs="宋体"/>
      <w:b w:val="0"/>
      <w:bCs w:val="0"/>
      <w:color w:val="376092"/>
      <w:kern w:val="0"/>
      <w:sz w:val="32"/>
      <w:szCs w:val="32"/>
    </w:rPr>
  </w:style>
  <w:style w:type="paragraph" w:customStyle="1" w:styleId="43">
    <w:name w:val="TOC 标题2"/>
    <w:basedOn w:val="3"/>
    <w:next w:val="1"/>
    <w:autoRedefine/>
    <w:qFormat/>
    <w:uiPriority w:val="39"/>
    <w:pPr>
      <w:widowControl/>
      <w:spacing w:before="480" w:after="0" w:line="276" w:lineRule="auto"/>
      <w:jc w:val="left"/>
      <w:outlineLvl w:val="9"/>
    </w:pPr>
    <w:rPr>
      <w:rFonts w:ascii="Cambria" w:hAnsi="Cambria" w:cs="宋体"/>
      <w:color w:val="376092"/>
      <w:kern w:val="0"/>
      <w:sz w:val="28"/>
      <w:szCs w:val="28"/>
    </w:rPr>
  </w:style>
  <w:style w:type="character" w:customStyle="1" w:styleId="44">
    <w:name w:val="qowt-font10-gbk"/>
    <w:basedOn w:val="25"/>
    <w:autoRedefine/>
    <w:qFormat/>
    <w:uiPriority w:val="0"/>
  </w:style>
  <w:style w:type="paragraph" w:customStyle="1" w:styleId="45">
    <w:name w:val="列出段落2"/>
    <w:basedOn w:val="1"/>
    <w:autoRedefine/>
    <w:qFormat/>
    <w:uiPriority w:val="34"/>
    <w:pPr>
      <w:ind w:firstLine="420" w:firstLineChars="200"/>
    </w:pPr>
    <w:rPr>
      <w:rFonts w:ascii="Calibri" w:hAnsi="Calibri"/>
    </w:rPr>
  </w:style>
  <w:style w:type="paragraph" w:customStyle="1" w:styleId="46">
    <w:name w:val="Table Paragraph"/>
    <w:basedOn w:val="1"/>
    <w:autoRedefine/>
    <w:qFormat/>
    <w:uiPriority w:val="1"/>
  </w:style>
  <w:style w:type="paragraph" w:customStyle="1" w:styleId="47">
    <w:name w:val="修订2"/>
    <w:autoRedefine/>
    <w:qFormat/>
    <w:uiPriority w:val="99"/>
    <w:rPr>
      <w:rFonts w:ascii="Times New Roman" w:hAnsi="Times New Roman" w:eastAsia="宋体" w:cs="Times New Roman"/>
      <w:kern w:val="2"/>
      <w:sz w:val="21"/>
      <w:szCs w:val="21"/>
      <w:lang w:val="en-US" w:eastAsia="zh-CN" w:bidi="ar-SA"/>
    </w:rPr>
  </w:style>
  <w:style w:type="table" w:customStyle="1" w:styleId="48">
    <w:name w:val="网格型1"/>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9">
    <w:name w:val="List Paragraph"/>
    <w:basedOn w:val="1"/>
    <w:autoRedefine/>
    <w:qFormat/>
    <w:uiPriority w:val="99"/>
    <w:pPr>
      <w:ind w:firstLine="420" w:firstLineChars="200"/>
    </w:pPr>
  </w:style>
  <w:style w:type="character" w:customStyle="1" w:styleId="50">
    <w:name w:val="HTML 预设格式 字符"/>
    <w:basedOn w:val="25"/>
    <w:link w:val="20"/>
    <w:autoRedefine/>
    <w:qFormat/>
    <w:uiPriority w:val="99"/>
    <w:rPr>
      <w:rFonts w:ascii="宋体" w:hAnsi="宋体" w:cs="宋体"/>
      <w:sz w:val="24"/>
      <w:szCs w:val="24"/>
    </w:rPr>
  </w:style>
  <w:style w:type="paragraph" w:customStyle="1" w:styleId="51">
    <w:name w:val="标书正文格式"/>
    <w:autoRedefine/>
    <w:qFormat/>
    <w:uiPriority w:val="0"/>
    <w:pPr>
      <w:spacing w:line="500" w:lineRule="exact"/>
    </w:pPr>
    <w:rPr>
      <w:rFonts w:ascii="楷体_GB2312" w:hAnsi="Times New Roman" w:eastAsia="楷体_GB2312"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2712</Words>
  <Characters>15459</Characters>
  <Lines>128</Lines>
  <Paragraphs>36</Paragraphs>
  <TotalTime>1</TotalTime>
  <ScaleCrop>false</ScaleCrop>
  <LinksUpToDate>false</LinksUpToDate>
  <CharactersWithSpaces>18135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2024-03-21T12:29:00Z</dcterms:created>
  <dc:creator>赵璧</dc:creator>
  <cp:lastModifiedBy>汪娜</cp:lastModifiedBy>
  <cp:lastPrinted>2024-03-20T07:48:00Z</cp:lastPrinted>
  <dcterms:modified xsi:type="dcterms:W3CDTF">2024-03-22T05:01:48Z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385749CB2D7D4F20A118F7C1C8FE5906_13</vt:lpwstr>
  </property>
</Properties>
</file>