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 w:val="44"/>
          <w:szCs w:val="44"/>
        </w:rPr>
      </w:pPr>
      <w:r>
        <w:rPr>
          <w:rFonts w:hint="eastAsia" w:eastAsia="黑体"/>
          <w:b/>
          <w:bCs/>
          <w:sz w:val="44"/>
          <w:szCs w:val="44"/>
        </w:rPr>
        <w:t>2022年南京市疾控中心</w:t>
      </w:r>
    </w:p>
    <w:p>
      <w:pPr>
        <w:spacing w:line="360" w:lineRule="auto"/>
        <w:jc w:val="center"/>
        <w:rPr>
          <w:rFonts w:eastAsia="黑体"/>
          <w:b/>
          <w:bCs/>
          <w:sz w:val="44"/>
          <w:szCs w:val="44"/>
        </w:rPr>
      </w:pPr>
      <w:r>
        <w:rPr>
          <w:rFonts w:hint="eastAsia" w:eastAsia="黑体"/>
          <w:b/>
          <w:bCs/>
          <w:sz w:val="44"/>
          <w:szCs w:val="44"/>
        </w:rPr>
        <w:t>理化科</w:t>
      </w:r>
      <w:r>
        <w:rPr>
          <w:rFonts w:hint="eastAsia" w:eastAsia="黑体"/>
          <w:b/>
          <w:bCs/>
          <w:sz w:val="44"/>
          <w:szCs w:val="44"/>
          <w:lang w:eastAsia="zh-CN"/>
        </w:rPr>
        <w:t>研磨仪</w:t>
      </w:r>
      <w:r>
        <w:rPr>
          <w:rFonts w:hint="eastAsia" w:eastAsia="黑体"/>
          <w:b/>
          <w:bCs/>
          <w:sz w:val="44"/>
          <w:szCs w:val="44"/>
        </w:rPr>
        <w:t>等小型设备采购项目</w:t>
      </w:r>
    </w:p>
    <w:p>
      <w:pPr>
        <w:spacing w:line="520" w:lineRule="exact"/>
        <w:jc w:val="center"/>
        <w:rPr>
          <w:sz w:val="21"/>
          <w:szCs w:val="21"/>
        </w:rPr>
      </w:pPr>
    </w:p>
    <w:p>
      <w:pPr>
        <w:spacing w:line="360" w:lineRule="auto"/>
        <w:rPr>
          <w:sz w:val="21"/>
          <w:szCs w:val="21"/>
        </w:rPr>
      </w:pPr>
    </w:p>
    <w:p>
      <w:pPr>
        <w:spacing w:line="360" w:lineRule="auto"/>
        <w:rPr>
          <w:sz w:val="21"/>
          <w:szCs w:val="21"/>
        </w:rPr>
      </w:pPr>
    </w:p>
    <w:p>
      <w:pPr>
        <w:spacing w:line="360" w:lineRule="auto"/>
        <w:jc w:val="center"/>
        <w:rPr>
          <w:sz w:val="21"/>
          <w:szCs w:val="21"/>
        </w:rPr>
      </w:pPr>
    </w:p>
    <w:p>
      <w:pPr>
        <w:spacing w:line="360" w:lineRule="auto"/>
        <w:jc w:val="center"/>
        <w:rPr>
          <w:sz w:val="21"/>
          <w:szCs w:val="21"/>
        </w:rPr>
      </w:pPr>
    </w:p>
    <w:p>
      <w:pPr>
        <w:spacing w:line="360" w:lineRule="auto"/>
        <w:jc w:val="center"/>
        <w:rPr>
          <w:sz w:val="21"/>
          <w:szCs w:val="21"/>
        </w:rPr>
      </w:pPr>
    </w:p>
    <w:p>
      <w:pPr>
        <w:spacing w:line="360" w:lineRule="auto"/>
        <w:jc w:val="center"/>
        <w:rPr>
          <w:sz w:val="21"/>
          <w:szCs w:val="21"/>
        </w:rPr>
      </w:pPr>
    </w:p>
    <w:p>
      <w:pPr>
        <w:spacing w:line="360" w:lineRule="auto"/>
        <w:jc w:val="center"/>
        <w:rPr>
          <w:sz w:val="21"/>
          <w:szCs w:val="21"/>
        </w:rPr>
      </w:pPr>
    </w:p>
    <w:p>
      <w:pPr>
        <w:spacing w:line="360" w:lineRule="auto"/>
        <w:jc w:val="center"/>
        <w:rPr>
          <w:sz w:val="21"/>
          <w:szCs w:val="21"/>
        </w:rPr>
      </w:pPr>
    </w:p>
    <w:p>
      <w:pPr>
        <w:spacing w:line="360" w:lineRule="auto"/>
        <w:jc w:val="center"/>
        <w:rPr>
          <w:sz w:val="21"/>
          <w:szCs w:val="21"/>
        </w:rPr>
      </w:pPr>
    </w:p>
    <w:p>
      <w:pPr>
        <w:spacing w:line="360" w:lineRule="auto"/>
        <w:jc w:val="center"/>
        <w:rPr>
          <w:sz w:val="21"/>
          <w:szCs w:val="21"/>
        </w:rPr>
      </w:pPr>
    </w:p>
    <w:p>
      <w:pPr>
        <w:spacing w:line="360" w:lineRule="auto"/>
        <w:jc w:val="center"/>
        <w:rPr>
          <w:sz w:val="21"/>
          <w:szCs w:val="21"/>
        </w:rPr>
      </w:pPr>
    </w:p>
    <w:p>
      <w:pPr>
        <w:spacing w:line="360" w:lineRule="auto"/>
        <w:jc w:val="center"/>
        <w:rPr>
          <w:sz w:val="21"/>
          <w:szCs w:val="21"/>
        </w:rPr>
      </w:pPr>
    </w:p>
    <w:p>
      <w:pPr>
        <w:spacing w:line="360" w:lineRule="auto"/>
        <w:jc w:val="center"/>
        <w:rPr>
          <w:sz w:val="21"/>
          <w:szCs w:val="21"/>
        </w:rPr>
      </w:pPr>
    </w:p>
    <w:p>
      <w:pPr>
        <w:spacing w:line="360" w:lineRule="auto"/>
        <w:jc w:val="center"/>
        <w:rPr>
          <w:sz w:val="21"/>
          <w:szCs w:val="21"/>
        </w:rPr>
      </w:pPr>
      <w:r>
        <w:rPr>
          <w:rFonts w:hAnsiTheme="minorEastAsia"/>
          <w:sz w:val="21"/>
          <w:szCs w:val="21"/>
        </w:rPr>
        <w:t>招标文件</w:t>
      </w:r>
    </w:p>
    <w:p>
      <w:pPr>
        <w:spacing w:line="360" w:lineRule="auto"/>
        <w:jc w:val="center"/>
        <w:rPr>
          <w:sz w:val="21"/>
          <w:szCs w:val="21"/>
        </w:rPr>
      </w:pPr>
    </w:p>
    <w:p>
      <w:pPr>
        <w:spacing w:line="360" w:lineRule="auto"/>
        <w:jc w:val="center"/>
        <w:rPr>
          <w:sz w:val="21"/>
          <w:szCs w:val="21"/>
        </w:rPr>
      </w:pPr>
    </w:p>
    <w:p>
      <w:pPr>
        <w:spacing w:line="360" w:lineRule="auto"/>
        <w:jc w:val="center"/>
        <w:rPr>
          <w:sz w:val="21"/>
          <w:szCs w:val="21"/>
        </w:rPr>
      </w:pPr>
    </w:p>
    <w:p>
      <w:pPr>
        <w:spacing w:line="360" w:lineRule="auto"/>
        <w:rPr>
          <w:sz w:val="21"/>
          <w:szCs w:val="21"/>
        </w:rPr>
      </w:pPr>
    </w:p>
    <w:p>
      <w:pPr>
        <w:spacing w:line="360" w:lineRule="auto"/>
        <w:jc w:val="center"/>
        <w:rPr>
          <w:sz w:val="21"/>
          <w:szCs w:val="21"/>
        </w:rPr>
      </w:pPr>
      <w:r>
        <w:rPr>
          <w:rFonts w:hAnsiTheme="minorEastAsia"/>
          <w:sz w:val="21"/>
          <w:szCs w:val="21"/>
        </w:rPr>
        <w:t>南京市疾病预防控制中心</w:t>
      </w:r>
    </w:p>
    <w:p>
      <w:pPr>
        <w:spacing w:line="360" w:lineRule="auto"/>
        <w:jc w:val="center"/>
        <w:rPr>
          <w:rFonts w:hint="eastAsia" w:hAnsiTheme="minorEastAsia"/>
          <w:sz w:val="21"/>
          <w:szCs w:val="21"/>
        </w:rPr>
      </w:pPr>
      <w:r>
        <w:rPr>
          <w:rFonts w:hint="eastAsia" w:hAnsiTheme="minorEastAsia"/>
          <w:sz w:val="21"/>
          <w:szCs w:val="21"/>
        </w:rPr>
        <w:t>2022</w:t>
      </w:r>
      <w:r>
        <w:rPr>
          <w:rFonts w:hAnsiTheme="minorEastAsia"/>
          <w:sz w:val="21"/>
          <w:szCs w:val="21"/>
        </w:rPr>
        <w:t>年</w:t>
      </w:r>
      <w:r>
        <w:rPr>
          <w:rFonts w:hint="eastAsia" w:hAnsiTheme="minorEastAsia"/>
          <w:sz w:val="21"/>
          <w:szCs w:val="21"/>
          <w:lang w:val="en-US" w:eastAsia="zh-CN"/>
        </w:rPr>
        <w:t>8</w:t>
      </w:r>
      <w:r>
        <w:rPr>
          <w:rFonts w:hint="eastAsia" w:hAnsiTheme="minorEastAsia"/>
          <w:sz w:val="21"/>
          <w:szCs w:val="21"/>
        </w:rPr>
        <w:t>月</w:t>
      </w:r>
      <w:r>
        <w:rPr>
          <w:rFonts w:hint="eastAsia" w:hAnsiTheme="minorEastAsia"/>
          <w:sz w:val="21"/>
          <w:szCs w:val="21"/>
          <w:lang w:val="en-US" w:eastAsia="zh-CN"/>
        </w:rPr>
        <w:t>11</w:t>
      </w:r>
      <w:r>
        <w:rPr>
          <w:rFonts w:hint="eastAsia" w:hAnsiTheme="minorEastAsia"/>
          <w:sz w:val="21"/>
          <w:szCs w:val="21"/>
        </w:rPr>
        <w:t>日</w:t>
      </w:r>
    </w:p>
    <w:p>
      <w:pPr>
        <w:spacing w:line="360" w:lineRule="auto"/>
        <w:jc w:val="center"/>
        <w:rPr>
          <w:rFonts w:eastAsia="黑体"/>
          <w:b/>
          <w:bCs/>
          <w:sz w:val="21"/>
          <w:szCs w:val="21"/>
        </w:rPr>
      </w:pPr>
    </w:p>
    <w:p>
      <w:pPr>
        <w:pStyle w:val="2"/>
        <w:numPr>
          <w:ilvl w:val="0"/>
          <w:numId w:val="0"/>
        </w:numPr>
        <w:ind w:left="3780" w:leftChars="0"/>
        <w:jc w:val="both"/>
      </w:pPr>
    </w:p>
    <w:p>
      <w:pPr>
        <w:pStyle w:val="16"/>
        <w:ind w:firstLine="420"/>
        <w:rPr>
          <w:sz w:val="21"/>
          <w:szCs w:val="21"/>
          <w:lang w:val="en-US"/>
        </w:rPr>
      </w:pPr>
    </w:p>
    <w:p>
      <w:pPr>
        <w:spacing w:line="360" w:lineRule="auto"/>
        <w:jc w:val="center"/>
        <w:rPr>
          <w:rFonts w:hint="eastAsia" w:eastAsia="黑体"/>
          <w:b/>
          <w:bCs/>
          <w:sz w:val="21"/>
          <w:szCs w:val="21"/>
        </w:rPr>
      </w:pPr>
    </w:p>
    <w:p>
      <w:pPr>
        <w:spacing w:line="360" w:lineRule="auto"/>
        <w:jc w:val="center"/>
        <w:rPr>
          <w:rFonts w:hint="eastAsia" w:eastAsia="黑体"/>
          <w:b/>
          <w:bCs/>
          <w:sz w:val="21"/>
          <w:szCs w:val="21"/>
        </w:rPr>
      </w:pPr>
    </w:p>
    <w:p>
      <w:pPr>
        <w:spacing w:line="360" w:lineRule="auto"/>
        <w:jc w:val="center"/>
        <w:rPr>
          <w:rFonts w:eastAsia="黑体"/>
          <w:b/>
          <w:bCs/>
          <w:sz w:val="24"/>
          <w:szCs w:val="24"/>
        </w:rPr>
      </w:pPr>
      <w:r>
        <w:rPr>
          <w:rFonts w:hint="eastAsia" w:eastAsia="黑体"/>
          <w:b/>
          <w:bCs/>
          <w:sz w:val="24"/>
          <w:szCs w:val="24"/>
        </w:rPr>
        <w:t>2022年南京市疾控中心</w:t>
      </w:r>
    </w:p>
    <w:p>
      <w:pPr>
        <w:spacing w:line="360" w:lineRule="auto"/>
        <w:jc w:val="center"/>
        <w:rPr>
          <w:rFonts w:eastAsia="黑体"/>
          <w:b/>
          <w:bCs/>
          <w:sz w:val="24"/>
          <w:szCs w:val="24"/>
        </w:rPr>
      </w:pPr>
      <w:r>
        <w:rPr>
          <w:rFonts w:hint="eastAsia" w:eastAsia="黑体"/>
          <w:b/>
          <w:bCs/>
          <w:sz w:val="24"/>
          <w:szCs w:val="24"/>
        </w:rPr>
        <w:t>理化科</w:t>
      </w:r>
      <w:r>
        <w:rPr>
          <w:rFonts w:hint="eastAsia" w:eastAsia="黑体"/>
          <w:b/>
          <w:bCs/>
          <w:sz w:val="24"/>
          <w:szCs w:val="24"/>
          <w:lang w:eastAsia="zh-CN"/>
        </w:rPr>
        <w:t>研磨仪</w:t>
      </w:r>
      <w:r>
        <w:rPr>
          <w:rFonts w:hint="eastAsia" w:eastAsia="黑体"/>
          <w:b/>
          <w:bCs/>
          <w:sz w:val="24"/>
          <w:szCs w:val="24"/>
        </w:rPr>
        <w:t>等小型设备采购项目</w:t>
      </w:r>
      <w:r>
        <w:rPr>
          <w:rFonts w:eastAsia="黑体"/>
          <w:b/>
          <w:bCs/>
          <w:sz w:val="24"/>
          <w:szCs w:val="24"/>
        </w:rPr>
        <w:t>公告</w:t>
      </w:r>
    </w:p>
    <w:p>
      <w:pPr>
        <w:rPr>
          <w:sz w:val="21"/>
          <w:szCs w:val="21"/>
          <w:highlight w:val="none"/>
        </w:rPr>
      </w:pPr>
    </w:p>
    <w:p>
      <w:pPr>
        <w:widowControl/>
        <w:shd w:val="clear" w:color="auto" w:fill="FFFFFF"/>
        <w:spacing w:line="360" w:lineRule="auto"/>
        <w:ind w:firstLine="370"/>
        <w:rPr>
          <w:rFonts w:ascii="宋体" w:hAnsi="宋体" w:cs="宋体"/>
          <w:spacing w:val="8"/>
          <w:kern w:val="0"/>
          <w:sz w:val="21"/>
          <w:szCs w:val="21"/>
          <w:highlight w:val="none"/>
        </w:rPr>
      </w:pPr>
      <w:r>
        <w:rPr>
          <w:rFonts w:hint="eastAsia" w:ascii="宋体" w:hAnsi="宋体" w:cs="宋体"/>
          <w:spacing w:val="8"/>
          <w:kern w:val="0"/>
          <w:sz w:val="21"/>
          <w:szCs w:val="21"/>
          <w:highlight w:val="none"/>
        </w:rPr>
        <w:t>南京</w:t>
      </w:r>
      <w:r>
        <w:rPr>
          <w:rFonts w:hint="eastAsia" w:ascii="宋体" w:hAnsi="宋体"/>
          <w:sz w:val="21"/>
          <w:szCs w:val="21"/>
          <w:highlight w:val="none"/>
        </w:rPr>
        <w:t>市疾病预防控制中心拟采购理化科</w:t>
      </w:r>
      <w:r>
        <w:rPr>
          <w:rFonts w:hint="eastAsia" w:ascii="宋体" w:hAnsi="宋体"/>
          <w:sz w:val="21"/>
          <w:szCs w:val="21"/>
          <w:highlight w:val="none"/>
          <w:lang w:eastAsia="zh-CN"/>
        </w:rPr>
        <w:t>研磨仪</w:t>
      </w:r>
      <w:r>
        <w:rPr>
          <w:rFonts w:hint="eastAsia" w:ascii="宋体" w:hAnsi="宋体"/>
          <w:sz w:val="21"/>
          <w:szCs w:val="21"/>
          <w:highlight w:val="none"/>
        </w:rPr>
        <w:t>等小型设备，项目预算</w:t>
      </w:r>
      <w:r>
        <w:rPr>
          <w:rFonts w:hint="eastAsia" w:ascii="宋体" w:hAnsi="宋体"/>
          <w:sz w:val="21"/>
          <w:szCs w:val="21"/>
          <w:highlight w:val="none"/>
          <w:lang w:val="en-US" w:eastAsia="zh-CN"/>
        </w:rPr>
        <w:t>18.08</w:t>
      </w:r>
      <w:r>
        <w:rPr>
          <w:rFonts w:hint="eastAsia" w:ascii="宋体" w:hAnsi="宋体"/>
          <w:sz w:val="21"/>
          <w:szCs w:val="21"/>
          <w:highlight w:val="none"/>
        </w:rPr>
        <w:t>万元，</w:t>
      </w:r>
      <w:r>
        <w:rPr>
          <w:rFonts w:hint="eastAsia" w:ascii="宋体" w:hAnsi="宋体" w:cs="宋体"/>
          <w:spacing w:val="8"/>
          <w:kern w:val="0"/>
          <w:sz w:val="21"/>
          <w:szCs w:val="21"/>
          <w:highlight w:val="none"/>
        </w:rPr>
        <w:t>项目采用综合打分法，</w:t>
      </w:r>
      <w:r>
        <w:rPr>
          <w:rFonts w:hint="eastAsia" w:ascii="宋体" w:hAnsi="宋体"/>
          <w:sz w:val="21"/>
          <w:szCs w:val="21"/>
          <w:highlight w:val="none"/>
        </w:rPr>
        <w:t>不接受联合体投标，欢迎符合资格条件的供应商参加。现将采购工作等相关事宜，公告如下:</w:t>
      </w:r>
    </w:p>
    <w:p>
      <w:pPr>
        <w:numPr>
          <w:ilvl w:val="0"/>
          <w:numId w:val="2"/>
        </w:numPr>
        <w:spacing w:after="120" w:line="360" w:lineRule="auto"/>
        <w:rPr>
          <w:rFonts w:ascii="宋体" w:hAnsi="宋体"/>
          <w:sz w:val="21"/>
          <w:szCs w:val="21"/>
          <w:highlight w:val="none"/>
        </w:rPr>
      </w:pPr>
      <w:r>
        <w:rPr>
          <w:rFonts w:hint="eastAsia" w:ascii="宋体" w:hAnsi="宋体"/>
          <w:sz w:val="21"/>
          <w:szCs w:val="21"/>
          <w:highlight w:val="none"/>
        </w:rPr>
        <w:t>响应时间、地点及其他要求</w:t>
      </w:r>
    </w:p>
    <w:p>
      <w:pPr>
        <w:numPr>
          <w:ilvl w:val="0"/>
          <w:numId w:val="3"/>
        </w:numPr>
        <w:spacing w:after="120" w:line="360" w:lineRule="auto"/>
        <w:rPr>
          <w:rFonts w:ascii="宋体" w:hAnsi="宋体" w:cs="宋体"/>
          <w:color w:val="000000"/>
          <w:sz w:val="21"/>
          <w:szCs w:val="21"/>
          <w:highlight w:val="none"/>
          <w:lang w:val="zh-CN"/>
        </w:rPr>
      </w:pPr>
      <w:r>
        <w:rPr>
          <w:rFonts w:hint="eastAsia" w:ascii="宋体" w:hAnsi="宋体"/>
          <w:sz w:val="21"/>
          <w:szCs w:val="21"/>
          <w:highlight w:val="none"/>
        </w:rPr>
        <w:t>响应文件份数：纸质版一式叁份（壹份正本、贰份副本）每份响应文件须清楚标明“正本”或“副本”字样。一旦正本和副本不符，以正本为准。</w:t>
      </w:r>
    </w:p>
    <w:p>
      <w:pPr>
        <w:numPr>
          <w:ilvl w:val="0"/>
          <w:numId w:val="3"/>
        </w:numPr>
        <w:spacing w:after="120" w:line="360" w:lineRule="auto"/>
        <w:rPr>
          <w:rFonts w:ascii="宋体" w:hAnsi="宋体"/>
          <w:sz w:val="21"/>
          <w:szCs w:val="21"/>
          <w:highlight w:val="none"/>
          <w:lang w:val="zh-CN"/>
        </w:rPr>
      </w:pPr>
      <w:r>
        <w:rPr>
          <w:rFonts w:hint="eastAsia" w:ascii="宋体" w:hAnsi="宋体"/>
          <w:sz w:val="21"/>
          <w:szCs w:val="21"/>
          <w:highlight w:val="none"/>
          <w:lang w:val="zh-CN"/>
        </w:rPr>
        <w:t>响应文件地点：南京市疾控中心紫竹林3号</w:t>
      </w:r>
      <w:r>
        <w:rPr>
          <w:rFonts w:hint="eastAsia" w:ascii="宋体" w:hAnsi="宋体"/>
          <w:sz w:val="21"/>
          <w:szCs w:val="21"/>
          <w:highlight w:val="none"/>
        </w:rPr>
        <w:t>2楼会议室；</w:t>
      </w:r>
    </w:p>
    <w:p>
      <w:pPr>
        <w:numPr>
          <w:ilvl w:val="0"/>
          <w:numId w:val="3"/>
        </w:numPr>
        <w:spacing w:after="120" w:line="360" w:lineRule="auto"/>
        <w:rPr>
          <w:rFonts w:ascii="宋体" w:hAnsi="宋体"/>
          <w:sz w:val="21"/>
          <w:szCs w:val="21"/>
          <w:highlight w:val="none"/>
          <w:lang w:val="zh-CN"/>
        </w:rPr>
      </w:pPr>
      <w:r>
        <w:rPr>
          <w:rFonts w:hint="eastAsia" w:ascii="宋体" w:hAnsi="宋体"/>
          <w:sz w:val="21"/>
          <w:szCs w:val="21"/>
          <w:highlight w:val="none"/>
          <w:lang w:val="zh-CN"/>
        </w:rPr>
        <w:t>递交响应文件开始时间：</w:t>
      </w:r>
      <w:r>
        <w:rPr>
          <w:rFonts w:hint="eastAsia" w:ascii="宋体" w:hAnsi="宋体"/>
          <w:color w:val="FF0000"/>
          <w:sz w:val="21"/>
          <w:szCs w:val="21"/>
          <w:highlight w:val="none"/>
        </w:rPr>
        <w:t>2022</w:t>
      </w:r>
      <w:r>
        <w:rPr>
          <w:rFonts w:hint="eastAsia" w:ascii="宋体" w:hAnsi="宋体"/>
          <w:color w:val="FF0000"/>
          <w:sz w:val="21"/>
          <w:szCs w:val="21"/>
          <w:highlight w:val="none"/>
          <w:lang w:val="zh-CN"/>
        </w:rPr>
        <w:t>年</w:t>
      </w:r>
      <w:r>
        <w:rPr>
          <w:rFonts w:hint="eastAsia" w:ascii="宋体" w:hAnsi="宋体"/>
          <w:color w:val="FF0000"/>
          <w:sz w:val="21"/>
          <w:szCs w:val="21"/>
          <w:highlight w:val="none"/>
          <w:lang w:val="en-US" w:eastAsia="zh-CN"/>
        </w:rPr>
        <w:t>8</w:t>
      </w:r>
      <w:r>
        <w:rPr>
          <w:rFonts w:hint="eastAsia" w:ascii="宋体" w:hAnsi="宋体"/>
          <w:color w:val="FF0000"/>
          <w:sz w:val="21"/>
          <w:szCs w:val="21"/>
          <w:highlight w:val="none"/>
          <w:lang w:val="zh-CN"/>
        </w:rPr>
        <w:t>月</w:t>
      </w:r>
      <w:r>
        <w:rPr>
          <w:rFonts w:hint="eastAsia" w:ascii="宋体" w:hAnsi="宋体"/>
          <w:color w:val="FF0000"/>
          <w:sz w:val="21"/>
          <w:szCs w:val="21"/>
          <w:highlight w:val="none"/>
          <w:lang w:val="en-US" w:eastAsia="zh-CN"/>
        </w:rPr>
        <w:t>19</w:t>
      </w:r>
      <w:r>
        <w:rPr>
          <w:rFonts w:hint="eastAsia" w:ascii="宋体" w:hAnsi="宋体"/>
          <w:color w:val="FF0000"/>
          <w:sz w:val="21"/>
          <w:szCs w:val="21"/>
          <w:highlight w:val="none"/>
          <w:lang w:val="zh-CN"/>
        </w:rPr>
        <w:t>日上午</w:t>
      </w:r>
      <w:r>
        <w:rPr>
          <w:rFonts w:hint="eastAsia" w:ascii="宋体" w:hAnsi="宋体"/>
          <w:color w:val="FF0000"/>
          <w:sz w:val="21"/>
          <w:szCs w:val="21"/>
          <w:highlight w:val="none"/>
          <w:lang w:val="en-US" w:eastAsia="zh-CN"/>
        </w:rPr>
        <w:t>9</w:t>
      </w:r>
      <w:r>
        <w:rPr>
          <w:rFonts w:hint="eastAsia" w:ascii="宋体" w:hAnsi="宋体"/>
          <w:color w:val="FF0000"/>
          <w:sz w:val="21"/>
          <w:szCs w:val="21"/>
          <w:highlight w:val="none"/>
        </w:rPr>
        <w:t>：</w:t>
      </w:r>
      <w:r>
        <w:rPr>
          <w:rFonts w:hint="eastAsia" w:ascii="宋体" w:hAnsi="宋体"/>
          <w:color w:val="FF0000"/>
          <w:sz w:val="21"/>
          <w:szCs w:val="21"/>
          <w:highlight w:val="none"/>
          <w:lang w:val="en-US" w:eastAsia="zh-CN"/>
        </w:rPr>
        <w:t>00</w:t>
      </w:r>
      <w:r>
        <w:rPr>
          <w:rFonts w:hint="eastAsia" w:ascii="宋体" w:hAnsi="宋体"/>
          <w:sz w:val="21"/>
          <w:szCs w:val="21"/>
          <w:highlight w:val="none"/>
        </w:rPr>
        <w:t>（北京时间）；</w:t>
      </w:r>
    </w:p>
    <w:p>
      <w:pPr>
        <w:numPr>
          <w:ilvl w:val="0"/>
          <w:numId w:val="3"/>
        </w:numPr>
        <w:spacing w:after="120" w:line="360" w:lineRule="auto"/>
        <w:rPr>
          <w:rFonts w:ascii="宋体" w:hAnsi="宋体"/>
          <w:sz w:val="21"/>
          <w:szCs w:val="21"/>
          <w:highlight w:val="none"/>
          <w:lang w:val="zh-CN"/>
        </w:rPr>
      </w:pPr>
      <w:r>
        <w:rPr>
          <w:rFonts w:hint="eastAsia" w:ascii="宋体" w:hAnsi="宋体"/>
          <w:sz w:val="21"/>
          <w:szCs w:val="21"/>
          <w:highlight w:val="none"/>
          <w:lang w:val="zh-CN"/>
        </w:rPr>
        <w:t>递交响应文件截止时间：</w:t>
      </w:r>
      <w:r>
        <w:rPr>
          <w:rFonts w:hint="eastAsia" w:ascii="宋体" w:hAnsi="宋体"/>
          <w:color w:val="FF0000"/>
          <w:sz w:val="21"/>
          <w:szCs w:val="21"/>
          <w:highlight w:val="none"/>
          <w:lang w:val="zh-CN"/>
        </w:rPr>
        <w:t>20</w:t>
      </w:r>
      <w:r>
        <w:rPr>
          <w:rFonts w:hint="eastAsia" w:ascii="宋体" w:hAnsi="宋体"/>
          <w:color w:val="FF0000"/>
          <w:sz w:val="21"/>
          <w:szCs w:val="21"/>
          <w:highlight w:val="none"/>
        </w:rPr>
        <w:t>22</w:t>
      </w:r>
      <w:r>
        <w:rPr>
          <w:rFonts w:hint="eastAsia" w:ascii="宋体" w:hAnsi="宋体"/>
          <w:color w:val="FF0000"/>
          <w:sz w:val="21"/>
          <w:szCs w:val="21"/>
          <w:highlight w:val="none"/>
          <w:lang w:val="zh-CN"/>
        </w:rPr>
        <w:t>年</w:t>
      </w:r>
      <w:r>
        <w:rPr>
          <w:rFonts w:hint="eastAsia" w:ascii="宋体" w:hAnsi="宋体"/>
          <w:color w:val="FF0000"/>
          <w:sz w:val="21"/>
          <w:szCs w:val="21"/>
          <w:highlight w:val="none"/>
          <w:lang w:val="en-US" w:eastAsia="zh-CN"/>
        </w:rPr>
        <w:t>8</w:t>
      </w:r>
      <w:r>
        <w:rPr>
          <w:rFonts w:hint="eastAsia" w:ascii="宋体" w:hAnsi="宋体"/>
          <w:color w:val="FF0000"/>
          <w:sz w:val="21"/>
          <w:szCs w:val="21"/>
          <w:highlight w:val="none"/>
          <w:lang w:val="zh-CN"/>
        </w:rPr>
        <w:t>月</w:t>
      </w:r>
      <w:r>
        <w:rPr>
          <w:rFonts w:hint="eastAsia" w:ascii="宋体" w:hAnsi="宋体"/>
          <w:color w:val="FF0000"/>
          <w:sz w:val="21"/>
          <w:szCs w:val="21"/>
          <w:highlight w:val="none"/>
          <w:lang w:val="en-US" w:eastAsia="zh-CN"/>
        </w:rPr>
        <w:t>19</w:t>
      </w:r>
      <w:r>
        <w:rPr>
          <w:rFonts w:hint="eastAsia" w:ascii="宋体" w:hAnsi="宋体"/>
          <w:color w:val="FF0000"/>
          <w:sz w:val="21"/>
          <w:szCs w:val="21"/>
          <w:highlight w:val="none"/>
          <w:lang w:val="zh-CN"/>
        </w:rPr>
        <w:t>日上</w:t>
      </w:r>
      <w:r>
        <w:rPr>
          <w:rFonts w:hint="eastAsia" w:ascii="宋体" w:hAnsi="宋体"/>
          <w:color w:val="FF0000"/>
          <w:sz w:val="21"/>
          <w:szCs w:val="21"/>
          <w:highlight w:val="none"/>
        </w:rPr>
        <w:t>午</w:t>
      </w:r>
      <w:r>
        <w:rPr>
          <w:rFonts w:hint="eastAsia" w:ascii="宋体" w:hAnsi="宋体"/>
          <w:color w:val="FF0000"/>
          <w:sz w:val="21"/>
          <w:szCs w:val="21"/>
          <w:highlight w:val="none"/>
          <w:lang w:val="en-US" w:eastAsia="zh-CN"/>
        </w:rPr>
        <w:t>9</w:t>
      </w:r>
      <w:r>
        <w:rPr>
          <w:rFonts w:hint="eastAsia" w:ascii="宋体" w:hAnsi="宋体"/>
          <w:color w:val="FF0000"/>
          <w:sz w:val="21"/>
          <w:szCs w:val="21"/>
          <w:highlight w:val="none"/>
        </w:rPr>
        <w:t>：</w:t>
      </w:r>
      <w:r>
        <w:rPr>
          <w:rFonts w:hint="eastAsia" w:ascii="宋体" w:hAnsi="宋体"/>
          <w:color w:val="FF0000"/>
          <w:sz w:val="21"/>
          <w:szCs w:val="21"/>
          <w:highlight w:val="none"/>
          <w:lang w:val="en-US" w:eastAsia="zh-CN"/>
        </w:rPr>
        <w:t>2</w:t>
      </w:r>
      <w:r>
        <w:rPr>
          <w:rFonts w:hint="eastAsia" w:ascii="宋体" w:hAnsi="宋体"/>
          <w:color w:val="FF0000"/>
          <w:sz w:val="21"/>
          <w:szCs w:val="21"/>
          <w:highlight w:val="none"/>
        </w:rPr>
        <w:t>9</w:t>
      </w:r>
      <w:r>
        <w:rPr>
          <w:rFonts w:hint="eastAsia" w:ascii="宋体" w:hAnsi="宋体"/>
          <w:sz w:val="21"/>
          <w:szCs w:val="21"/>
          <w:highlight w:val="none"/>
        </w:rPr>
        <w:t>（北京时间）</w:t>
      </w:r>
      <w:r>
        <w:rPr>
          <w:rFonts w:hint="eastAsia" w:ascii="宋体" w:hAnsi="宋体"/>
          <w:sz w:val="21"/>
          <w:szCs w:val="21"/>
          <w:highlight w:val="none"/>
          <w:lang w:val="zh-CN"/>
        </w:rPr>
        <w:t>；</w:t>
      </w:r>
    </w:p>
    <w:p>
      <w:pPr>
        <w:widowControl/>
        <w:shd w:val="clear" w:color="auto" w:fill="FFFFFF"/>
        <w:spacing w:after="120" w:line="360" w:lineRule="auto"/>
        <w:ind w:firstLine="412"/>
        <w:rPr>
          <w:rFonts w:ascii="宋体" w:hAnsi="宋体" w:cs="宋体"/>
          <w:b/>
          <w:kern w:val="0"/>
          <w:sz w:val="21"/>
          <w:szCs w:val="21"/>
          <w:highlight w:val="none"/>
        </w:rPr>
      </w:pPr>
      <w:r>
        <w:rPr>
          <w:rFonts w:hint="eastAsia" w:ascii="宋体" w:hAnsi="宋体" w:cs="宋体"/>
          <w:b/>
          <w:kern w:val="0"/>
          <w:sz w:val="21"/>
          <w:szCs w:val="21"/>
          <w:highlight w:val="none"/>
        </w:rPr>
        <w:t>响应文件所报的响应价格不得超过预算总价，超过预算总价的按无效投标处理。</w:t>
      </w:r>
    </w:p>
    <w:p>
      <w:pPr>
        <w:numPr>
          <w:ilvl w:val="0"/>
          <w:numId w:val="2"/>
        </w:numPr>
        <w:spacing w:after="120" w:line="360" w:lineRule="auto"/>
        <w:rPr>
          <w:rFonts w:ascii="宋体" w:hAnsi="宋体"/>
          <w:sz w:val="21"/>
          <w:szCs w:val="21"/>
          <w:highlight w:val="none"/>
        </w:rPr>
      </w:pPr>
      <w:r>
        <w:rPr>
          <w:rFonts w:hint="eastAsia" w:ascii="宋体" w:hAnsi="宋体"/>
          <w:sz w:val="21"/>
          <w:szCs w:val="21"/>
          <w:highlight w:val="none"/>
        </w:rPr>
        <w:t>开标及评标时间、地点及其他要求：</w:t>
      </w:r>
    </w:p>
    <w:p>
      <w:pPr>
        <w:spacing w:after="120" w:line="360" w:lineRule="auto"/>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w:t>
      </w:r>
      <w:r>
        <w:rPr>
          <w:rFonts w:ascii="宋体" w:hAnsi="宋体"/>
          <w:color w:val="FF0000"/>
          <w:sz w:val="21"/>
          <w:szCs w:val="21"/>
          <w:highlight w:val="none"/>
        </w:rPr>
        <w:t>20</w:t>
      </w:r>
      <w:r>
        <w:rPr>
          <w:rFonts w:hint="eastAsia" w:ascii="宋体" w:hAnsi="宋体"/>
          <w:color w:val="FF0000"/>
          <w:sz w:val="21"/>
          <w:szCs w:val="21"/>
          <w:highlight w:val="none"/>
        </w:rPr>
        <w:t>22年</w:t>
      </w:r>
      <w:r>
        <w:rPr>
          <w:rFonts w:hint="eastAsia" w:ascii="宋体" w:hAnsi="宋体"/>
          <w:color w:val="FF0000"/>
          <w:sz w:val="21"/>
          <w:szCs w:val="21"/>
          <w:highlight w:val="none"/>
          <w:lang w:val="en-US" w:eastAsia="zh-CN"/>
        </w:rPr>
        <w:t>8</w:t>
      </w:r>
      <w:r>
        <w:rPr>
          <w:rFonts w:hint="eastAsia" w:ascii="宋体" w:hAnsi="宋体"/>
          <w:color w:val="FF0000"/>
          <w:sz w:val="21"/>
          <w:szCs w:val="21"/>
          <w:highlight w:val="none"/>
        </w:rPr>
        <w:t xml:space="preserve"> 月1</w:t>
      </w:r>
      <w:r>
        <w:rPr>
          <w:rFonts w:hint="eastAsia" w:ascii="宋体" w:hAnsi="宋体"/>
          <w:color w:val="FF0000"/>
          <w:sz w:val="21"/>
          <w:szCs w:val="21"/>
          <w:highlight w:val="none"/>
          <w:lang w:val="en-US" w:eastAsia="zh-CN"/>
        </w:rPr>
        <w:t>9</w:t>
      </w:r>
      <w:bookmarkStart w:id="1" w:name="_GoBack"/>
      <w:bookmarkEnd w:id="1"/>
      <w:r>
        <w:rPr>
          <w:rFonts w:hint="eastAsia" w:ascii="宋体" w:hAnsi="宋体"/>
          <w:color w:val="FF0000"/>
          <w:sz w:val="21"/>
          <w:szCs w:val="21"/>
          <w:highlight w:val="none"/>
        </w:rPr>
        <w:t>日上午</w:t>
      </w:r>
      <w:r>
        <w:rPr>
          <w:rFonts w:hint="eastAsia" w:ascii="宋体" w:hAnsi="宋体"/>
          <w:color w:val="FF0000"/>
          <w:sz w:val="21"/>
          <w:szCs w:val="21"/>
          <w:highlight w:val="none"/>
          <w:lang w:val="en-US" w:eastAsia="zh-CN"/>
        </w:rPr>
        <w:t>9</w:t>
      </w:r>
      <w:r>
        <w:rPr>
          <w:rFonts w:hint="eastAsia" w:ascii="宋体" w:hAnsi="宋体"/>
          <w:color w:val="FF0000"/>
          <w:sz w:val="21"/>
          <w:szCs w:val="21"/>
          <w:highlight w:val="none"/>
        </w:rPr>
        <w:t>：</w:t>
      </w:r>
      <w:r>
        <w:rPr>
          <w:rFonts w:hint="eastAsia" w:ascii="宋体" w:hAnsi="宋体"/>
          <w:color w:val="FF0000"/>
          <w:sz w:val="21"/>
          <w:szCs w:val="21"/>
          <w:highlight w:val="none"/>
          <w:lang w:val="en-US" w:eastAsia="zh-CN"/>
        </w:rPr>
        <w:t>3</w:t>
      </w:r>
      <w:r>
        <w:rPr>
          <w:rFonts w:hint="eastAsia" w:ascii="宋体" w:hAnsi="宋体"/>
          <w:color w:val="FF0000"/>
          <w:sz w:val="21"/>
          <w:szCs w:val="21"/>
          <w:highlight w:val="none"/>
        </w:rPr>
        <w:t>0</w:t>
      </w:r>
      <w:r>
        <w:rPr>
          <w:rFonts w:hint="eastAsia" w:ascii="宋体" w:hAnsi="宋体"/>
          <w:sz w:val="21"/>
          <w:szCs w:val="21"/>
          <w:highlight w:val="none"/>
        </w:rPr>
        <w:t>南京市疾病预防控制中心（紫竹林3号）2楼会议室。</w:t>
      </w:r>
    </w:p>
    <w:p>
      <w:pPr>
        <w:spacing w:after="120" w:line="360" w:lineRule="auto"/>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2</w:t>
      </w:r>
      <w:r>
        <w:rPr>
          <w:rFonts w:hint="eastAsia" w:ascii="宋体" w:hAnsi="宋体"/>
          <w:sz w:val="21"/>
          <w:szCs w:val="21"/>
          <w:highlight w:val="none"/>
        </w:rPr>
        <w:t>）参与者将响应文件以书面密封形式（加盖骑缝章）送达我中心。(未密封、未加盖骑缝章将不得参与本次采购活动)</w:t>
      </w:r>
    </w:p>
    <w:p>
      <w:pPr>
        <w:spacing w:after="120" w:line="360" w:lineRule="auto"/>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3</w:t>
      </w:r>
      <w:r>
        <w:rPr>
          <w:rFonts w:hint="eastAsia" w:ascii="宋体" w:hAnsi="宋体"/>
          <w:sz w:val="21"/>
          <w:szCs w:val="21"/>
          <w:highlight w:val="none"/>
        </w:rPr>
        <w:t>）我中心开标前（不得拆标）。评审小组将根据对供应商资质要求进行审核。</w:t>
      </w:r>
    </w:p>
    <w:p>
      <w:pPr>
        <w:numPr>
          <w:ilvl w:val="0"/>
          <w:numId w:val="2"/>
        </w:numPr>
        <w:spacing w:after="120" w:line="360" w:lineRule="auto"/>
        <w:rPr>
          <w:rFonts w:ascii="宋体" w:hAnsi="宋体"/>
          <w:sz w:val="21"/>
          <w:szCs w:val="21"/>
          <w:highlight w:val="none"/>
        </w:rPr>
      </w:pPr>
      <w:r>
        <w:rPr>
          <w:rFonts w:hint="eastAsia" w:ascii="宋体" w:hAnsi="宋体"/>
          <w:sz w:val="21"/>
          <w:szCs w:val="21"/>
          <w:highlight w:val="none"/>
          <w:lang w:val="zh-CN"/>
        </w:rPr>
        <w:t>供应商应具备下列资格条件,并提供证明材料(包括但不限于):</w:t>
      </w:r>
    </w:p>
    <w:p>
      <w:pPr>
        <w:pStyle w:val="17"/>
        <w:numPr>
          <w:ilvl w:val="0"/>
          <w:numId w:val="4"/>
        </w:numPr>
        <w:spacing w:line="360" w:lineRule="auto"/>
        <w:ind w:firstLineChars="0"/>
        <w:rPr>
          <w:rFonts w:ascii="宋体" w:hAnsi="宋体"/>
          <w:sz w:val="21"/>
          <w:szCs w:val="21"/>
          <w:highlight w:val="none"/>
        </w:rPr>
      </w:pPr>
      <w:r>
        <w:rPr>
          <w:rFonts w:hint="eastAsia" w:ascii="宋体" w:hAnsi="宋体"/>
          <w:sz w:val="21"/>
          <w:szCs w:val="21"/>
          <w:highlight w:val="none"/>
        </w:rPr>
        <w:t>满足《中国人民共和国政府采购法》第二十二条规定；</w:t>
      </w:r>
    </w:p>
    <w:p>
      <w:pPr>
        <w:pStyle w:val="17"/>
        <w:numPr>
          <w:ilvl w:val="0"/>
          <w:numId w:val="4"/>
        </w:numPr>
        <w:spacing w:line="360" w:lineRule="auto"/>
        <w:ind w:firstLineChars="0"/>
        <w:rPr>
          <w:rFonts w:ascii="宋体" w:hAnsi="宋体"/>
          <w:sz w:val="21"/>
          <w:szCs w:val="21"/>
          <w:highlight w:val="none"/>
        </w:rPr>
      </w:pPr>
      <w:r>
        <w:rPr>
          <w:rFonts w:hint="eastAsia" w:ascii="宋体" w:hAnsi="宋体"/>
          <w:sz w:val="21"/>
          <w:szCs w:val="21"/>
          <w:highlight w:val="none"/>
        </w:rPr>
        <w:t>具有独立企业法人资格，经营范围至少包括投标项目。</w:t>
      </w:r>
    </w:p>
    <w:p>
      <w:pPr>
        <w:pStyle w:val="17"/>
        <w:numPr>
          <w:ilvl w:val="0"/>
          <w:numId w:val="4"/>
        </w:numPr>
        <w:spacing w:line="360" w:lineRule="auto"/>
        <w:ind w:firstLineChars="0"/>
        <w:rPr>
          <w:rFonts w:ascii="宋体" w:hAnsi="宋体"/>
          <w:sz w:val="21"/>
          <w:szCs w:val="21"/>
          <w:highlight w:val="none"/>
        </w:rPr>
      </w:pPr>
      <w:r>
        <w:rPr>
          <w:rFonts w:hint="eastAsia" w:ascii="宋体" w:hAnsi="宋体"/>
          <w:sz w:val="21"/>
          <w:szCs w:val="21"/>
          <w:highlight w:val="none"/>
        </w:rPr>
        <w:t>具有良好的商业信誉和健全的财务会计制度；</w:t>
      </w:r>
    </w:p>
    <w:p>
      <w:pPr>
        <w:pStyle w:val="17"/>
        <w:widowControl/>
        <w:numPr>
          <w:ilvl w:val="0"/>
          <w:numId w:val="4"/>
        </w:numPr>
        <w:tabs>
          <w:tab w:val="left" w:pos="0"/>
        </w:tabs>
        <w:spacing w:line="360" w:lineRule="auto"/>
        <w:ind w:firstLineChars="0"/>
        <w:rPr>
          <w:rFonts w:ascii="宋体" w:hAnsi="宋体"/>
          <w:sz w:val="21"/>
          <w:szCs w:val="21"/>
          <w:highlight w:val="none"/>
        </w:rPr>
      </w:pPr>
      <w:r>
        <w:rPr>
          <w:rFonts w:hint="eastAsia" w:ascii="宋体" w:hAnsi="宋体"/>
          <w:sz w:val="21"/>
          <w:szCs w:val="21"/>
          <w:highlight w:val="none"/>
        </w:rPr>
        <w:t>具有履行合同所必需的设备和专业技术能力；</w:t>
      </w:r>
    </w:p>
    <w:p>
      <w:pPr>
        <w:pStyle w:val="17"/>
        <w:widowControl/>
        <w:numPr>
          <w:ilvl w:val="0"/>
          <w:numId w:val="4"/>
        </w:numPr>
        <w:tabs>
          <w:tab w:val="left" w:pos="0"/>
        </w:tabs>
        <w:spacing w:line="360" w:lineRule="auto"/>
        <w:ind w:firstLineChars="0"/>
        <w:rPr>
          <w:rFonts w:ascii="宋体" w:hAnsi="宋体"/>
          <w:sz w:val="21"/>
          <w:szCs w:val="21"/>
          <w:highlight w:val="none"/>
        </w:rPr>
      </w:pPr>
      <w:r>
        <w:rPr>
          <w:rFonts w:hint="eastAsia" w:ascii="宋体" w:hAnsi="宋体"/>
          <w:sz w:val="21"/>
          <w:szCs w:val="21"/>
          <w:highlight w:val="none"/>
        </w:rPr>
        <w:t>有依法缴纳税收和社会保障资金的良好记录；</w:t>
      </w:r>
    </w:p>
    <w:p>
      <w:pPr>
        <w:pStyle w:val="17"/>
        <w:widowControl/>
        <w:numPr>
          <w:ilvl w:val="0"/>
          <w:numId w:val="4"/>
        </w:numPr>
        <w:tabs>
          <w:tab w:val="left" w:pos="0"/>
        </w:tabs>
        <w:spacing w:line="360" w:lineRule="auto"/>
        <w:ind w:firstLineChars="0"/>
        <w:rPr>
          <w:rFonts w:ascii="宋体" w:hAnsi="宋体"/>
          <w:sz w:val="21"/>
          <w:szCs w:val="21"/>
          <w:highlight w:val="none"/>
        </w:rPr>
      </w:pPr>
      <w:r>
        <w:rPr>
          <w:rFonts w:hint="eastAsia" w:ascii="宋体" w:hAnsi="宋体"/>
          <w:sz w:val="21"/>
          <w:szCs w:val="21"/>
          <w:highlight w:val="none"/>
        </w:rPr>
        <w:t>近三年内（本项目投标截止期前）在经营活动中没有重大违法记录；</w:t>
      </w:r>
    </w:p>
    <w:p>
      <w:pPr>
        <w:pStyle w:val="17"/>
        <w:widowControl/>
        <w:numPr>
          <w:ilvl w:val="0"/>
          <w:numId w:val="4"/>
        </w:numPr>
        <w:tabs>
          <w:tab w:val="left" w:pos="0"/>
        </w:tabs>
        <w:spacing w:line="360" w:lineRule="auto"/>
        <w:ind w:firstLineChars="0"/>
        <w:rPr>
          <w:rFonts w:ascii="Arial" w:hAnsi="Arial" w:cs="Arial"/>
          <w:bCs/>
          <w:i/>
          <w:iCs/>
          <w:color w:val="FF0000"/>
          <w:spacing w:val="8"/>
          <w:kern w:val="0"/>
          <w:sz w:val="21"/>
          <w:szCs w:val="21"/>
          <w:highlight w:val="none"/>
          <w:u w:val="single"/>
        </w:rPr>
      </w:pPr>
      <w:r>
        <w:rPr>
          <w:rFonts w:hint="eastAsia" w:ascii="宋体" w:hAnsi="宋体"/>
          <w:sz w:val="21"/>
          <w:szCs w:val="21"/>
          <w:highlight w:val="none"/>
        </w:rPr>
        <w:t>其他证明材料：具备一年内或近期案例；具有完善的售后服务体系；具有良好的行业信誉，财务数据运营正常；投标人基本情况简介；项目负责人情况表；其他相关材料。</w:t>
      </w:r>
    </w:p>
    <w:p>
      <w:pPr>
        <w:pStyle w:val="17"/>
        <w:numPr>
          <w:ilvl w:val="0"/>
          <w:numId w:val="4"/>
        </w:numPr>
        <w:spacing w:line="360" w:lineRule="auto"/>
        <w:ind w:firstLineChars="0"/>
        <w:rPr>
          <w:rFonts w:ascii="宋体" w:hAnsi="宋体" w:cs="宋体"/>
          <w:sz w:val="21"/>
          <w:szCs w:val="21"/>
          <w:highlight w:val="none"/>
        </w:rPr>
      </w:pPr>
      <w:r>
        <w:rPr>
          <w:rFonts w:hint="eastAsia" w:ascii="宋体" w:hAnsi="宋体"/>
          <w:sz w:val="21"/>
          <w:szCs w:val="21"/>
          <w:highlight w:val="none"/>
        </w:rPr>
        <w:t>采购人根据采购项目的特殊要求规定的特定条件，并提供符合特殊要求的证明材料或者情况说明：</w:t>
      </w:r>
      <w:r>
        <w:rPr>
          <w:rFonts w:hint="eastAsia" w:asciiTheme="majorEastAsia" w:hAnsiTheme="majorEastAsia" w:eastAsiaTheme="majorEastAsia" w:cstheme="majorEastAsia"/>
          <w:b/>
          <w:sz w:val="21"/>
          <w:szCs w:val="21"/>
          <w:highlight w:val="none"/>
        </w:rPr>
        <w:t>代理商投标且所投产品为进口产品的，还应提供设备制造商或其驻中国办事机构或其在中国销售总代理的投标授权委托书，并明确承担一切售前、售后责任</w:t>
      </w:r>
      <w:r>
        <w:rPr>
          <w:rFonts w:hint="eastAsia" w:ascii="宋体" w:hAnsi="宋体" w:cs="宋体"/>
          <w:sz w:val="21"/>
          <w:szCs w:val="21"/>
          <w:highlight w:val="none"/>
        </w:rPr>
        <w:t>。</w:t>
      </w:r>
    </w:p>
    <w:p>
      <w:pPr>
        <w:pStyle w:val="17"/>
        <w:widowControl/>
        <w:tabs>
          <w:tab w:val="left" w:pos="0"/>
        </w:tabs>
        <w:spacing w:line="360" w:lineRule="auto"/>
        <w:ind w:left="720" w:firstLine="0" w:firstLineChars="0"/>
        <w:rPr>
          <w:rFonts w:ascii="宋体" w:hAnsi="宋体"/>
          <w:sz w:val="21"/>
          <w:szCs w:val="21"/>
          <w:highlight w:val="none"/>
        </w:rPr>
      </w:pPr>
    </w:p>
    <w:p>
      <w:pPr>
        <w:numPr>
          <w:ilvl w:val="0"/>
          <w:numId w:val="2"/>
        </w:numPr>
        <w:spacing w:after="120" w:line="360" w:lineRule="auto"/>
        <w:rPr>
          <w:rFonts w:ascii="宋体" w:hAnsi="宋体"/>
          <w:sz w:val="21"/>
          <w:szCs w:val="21"/>
          <w:highlight w:val="none"/>
        </w:rPr>
      </w:pPr>
      <w:r>
        <w:rPr>
          <w:rFonts w:hint="eastAsia" w:ascii="宋体" w:hAnsi="宋体"/>
          <w:sz w:val="21"/>
          <w:szCs w:val="21"/>
          <w:highlight w:val="none"/>
        </w:rPr>
        <w:t>采购项目技术参数见附件</w:t>
      </w:r>
    </w:p>
    <w:p>
      <w:pPr>
        <w:pStyle w:val="16"/>
        <w:ind w:firstLine="0" w:firstLineChars="0"/>
        <w:rPr>
          <w:rFonts w:ascii="宋体" w:hAnsi="宋体"/>
          <w:sz w:val="21"/>
          <w:szCs w:val="21"/>
          <w:highlight w:val="none"/>
          <w:lang w:val="en-US"/>
        </w:rPr>
      </w:pPr>
    </w:p>
    <w:p>
      <w:pPr>
        <w:spacing w:after="120" w:line="360" w:lineRule="auto"/>
        <w:ind w:firstLine="5565" w:firstLineChars="2650"/>
        <w:rPr>
          <w:rFonts w:ascii="宋体" w:hAnsi="宋体"/>
          <w:sz w:val="21"/>
          <w:szCs w:val="21"/>
          <w:highlight w:val="none"/>
        </w:rPr>
      </w:pPr>
    </w:p>
    <w:p>
      <w:pPr>
        <w:spacing w:after="120" w:line="360" w:lineRule="auto"/>
        <w:jc w:val="right"/>
        <w:rPr>
          <w:rFonts w:ascii="宋体" w:hAnsi="宋体"/>
          <w:sz w:val="21"/>
          <w:szCs w:val="21"/>
          <w:highlight w:val="none"/>
        </w:rPr>
      </w:pPr>
      <w:r>
        <w:rPr>
          <w:rFonts w:hint="eastAsia" w:ascii="宋体" w:hAnsi="宋体"/>
          <w:sz w:val="21"/>
          <w:szCs w:val="21"/>
          <w:highlight w:val="none"/>
        </w:rPr>
        <w:t>南京市疾病预防控制中心</w:t>
      </w:r>
    </w:p>
    <w:p>
      <w:pPr>
        <w:spacing w:after="120" w:line="360" w:lineRule="auto"/>
        <w:jc w:val="right"/>
        <w:rPr>
          <w:rFonts w:ascii="宋体" w:hAnsi="宋体"/>
          <w:sz w:val="21"/>
          <w:szCs w:val="21"/>
          <w:highlight w:val="none"/>
        </w:rPr>
      </w:pPr>
      <w:r>
        <w:rPr>
          <w:rFonts w:hint="eastAsia" w:ascii="宋体" w:hAnsi="宋体"/>
          <w:sz w:val="21"/>
          <w:szCs w:val="21"/>
          <w:highlight w:val="none"/>
        </w:rPr>
        <w:t>2022年</w:t>
      </w:r>
      <w:r>
        <w:rPr>
          <w:rFonts w:hint="eastAsia" w:ascii="宋体" w:hAnsi="宋体"/>
          <w:sz w:val="21"/>
          <w:szCs w:val="21"/>
          <w:highlight w:val="none"/>
          <w:lang w:val="en-US" w:eastAsia="zh-CN"/>
        </w:rPr>
        <w:t>8</w:t>
      </w:r>
      <w:r>
        <w:rPr>
          <w:rFonts w:hint="eastAsia" w:ascii="宋体" w:hAnsi="宋体"/>
          <w:sz w:val="21"/>
          <w:szCs w:val="21"/>
          <w:highlight w:val="none"/>
        </w:rPr>
        <w:t>月</w:t>
      </w:r>
      <w:r>
        <w:rPr>
          <w:rFonts w:hint="eastAsia" w:ascii="宋体" w:hAnsi="宋体"/>
          <w:sz w:val="21"/>
          <w:szCs w:val="21"/>
          <w:highlight w:val="none"/>
          <w:lang w:val="en-US" w:eastAsia="zh-CN"/>
        </w:rPr>
        <w:t>11</w:t>
      </w:r>
      <w:r>
        <w:rPr>
          <w:rFonts w:hint="eastAsia" w:ascii="宋体" w:hAnsi="宋体"/>
          <w:sz w:val="21"/>
          <w:szCs w:val="21"/>
          <w:highlight w:val="none"/>
        </w:rPr>
        <w:t>日</w:t>
      </w:r>
    </w:p>
    <w:p>
      <w:pPr>
        <w:widowControl/>
        <w:jc w:val="center"/>
        <w:rPr>
          <w:rFonts w:ascii="宋体" w:hAnsi="宋体" w:cs="宋体"/>
          <w:b/>
          <w:bCs/>
          <w:color w:val="000000"/>
          <w:kern w:val="0"/>
          <w:sz w:val="21"/>
          <w:szCs w:val="21"/>
          <w:highlight w:val="none"/>
        </w:rPr>
      </w:pPr>
    </w:p>
    <w:p>
      <w:pPr>
        <w:widowControl/>
        <w:jc w:val="center"/>
        <w:rPr>
          <w:rFonts w:ascii="宋体" w:hAnsi="宋体" w:cs="宋体"/>
          <w:b/>
          <w:bCs/>
          <w:color w:val="000000"/>
          <w:kern w:val="0"/>
          <w:sz w:val="21"/>
          <w:szCs w:val="21"/>
          <w:highlight w:val="none"/>
        </w:rPr>
      </w:pPr>
    </w:p>
    <w:p>
      <w:pPr>
        <w:widowControl/>
        <w:jc w:val="center"/>
        <w:rPr>
          <w:rFonts w:ascii="宋体" w:hAnsi="宋体" w:cs="宋体"/>
          <w:b/>
          <w:bCs/>
          <w:color w:val="000000"/>
          <w:kern w:val="0"/>
          <w:sz w:val="21"/>
          <w:szCs w:val="21"/>
          <w:highlight w:val="none"/>
        </w:rPr>
      </w:pPr>
    </w:p>
    <w:p>
      <w:pPr>
        <w:widowControl/>
        <w:jc w:val="center"/>
        <w:rPr>
          <w:rFonts w:ascii="宋体" w:hAnsi="宋体" w:cs="宋体"/>
          <w:b/>
          <w:bCs/>
          <w:color w:val="000000"/>
          <w:kern w:val="0"/>
          <w:sz w:val="21"/>
          <w:szCs w:val="21"/>
          <w:highlight w:val="none"/>
        </w:rPr>
      </w:pPr>
    </w:p>
    <w:p>
      <w:pPr>
        <w:pStyle w:val="16"/>
        <w:ind w:firstLine="420"/>
        <w:rPr>
          <w:sz w:val="21"/>
          <w:szCs w:val="21"/>
          <w:highlight w:val="none"/>
          <w:lang w:val="en-US"/>
        </w:rPr>
      </w:pPr>
    </w:p>
    <w:p>
      <w:pPr>
        <w:pStyle w:val="16"/>
        <w:ind w:firstLine="420"/>
        <w:rPr>
          <w:sz w:val="21"/>
          <w:szCs w:val="21"/>
          <w:highlight w:val="none"/>
          <w:lang w:val="en-US"/>
        </w:rPr>
      </w:pPr>
    </w:p>
    <w:p>
      <w:pPr>
        <w:pStyle w:val="16"/>
        <w:ind w:firstLine="420"/>
        <w:rPr>
          <w:sz w:val="21"/>
          <w:szCs w:val="21"/>
          <w:highlight w:val="none"/>
          <w:lang w:val="en-US"/>
        </w:rPr>
      </w:pPr>
    </w:p>
    <w:p>
      <w:pPr>
        <w:pStyle w:val="16"/>
        <w:ind w:firstLine="420"/>
        <w:rPr>
          <w:sz w:val="21"/>
          <w:szCs w:val="21"/>
          <w:highlight w:val="none"/>
          <w:lang w:val="en-US"/>
        </w:rPr>
      </w:pPr>
    </w:p>
    <w:p>
      <w:pPr>
        <w:pStyle w:val="16"/>
        <w:ind w:firstLine="420"/>
        <w:rPr>
          <w:sz w:val="21"/>
          <w:szCs w:val="21"/>
          <w:highlight w:val="none"/>
          <w:lang w:val="en-US"/>
        </w:rPr>
      </w:pPr>
    </w:p>
    <w:p>
      <w:pPr>
        <w:pStyle w:val="16"/>
        <w:ind w:firstLine="420"/>
        <w:rPr>
          <w:sz w:val="21"/>
          <w:szCs w:val="21"/>
          <w:highlight w:val="none"/>
          <w:lang w:val="en-US"/>
        </w:rPr>
      </w:pPr>
    </w:p>
    <w:p>
      <w:pPr>
        <w:pStyle w:val="16"/>
        <w:ind w:firstLine="420"/>
        <w:rPr>
          <w:sz w:val="21"/>
          <w:szCs w:val="21"/>
          <w:highlight w:val="none"/>
          <w:lang w:val="en-US"/>
        </w:rPr>
      </w:pPr>
    </w:p>
    <w:p>
      <w:pPr>
        <w:pStyle w:val="16"/>
        <w:ind w:firstLine="420"/>
        <w:rPr>
          <w:sz w:val="21"/>
          <w:szCs w:val="21"/>
          <w:highlight w:val="none"/>
          <w:lang w:val="en-US"/>
        </w:rPr>
      </w:pPr>
    </w:p>
    <w:p>
      <w:pPr>
        <w:pStyle w:val="16"/>
        <w:ind w:firstLine="420"/>
        <w:rPr>
          <w:sz w:val="21"/>
          <w:szCs w:val="21"/>
          <w:highlight w:val="none"/>
          <w:lang w:val="en-US"/>
        </w:rPr>
      </w:pPr>
    </w:p>
    <w:p>
      <w:pPr>
        <w:pStyle w:val="16"/>
        <w:ind w:firstLine="420"/>
        <w:rPr>
          <w:sz w:val="21"/>
          <w:szCs w:val="21"/>
          <w:highlight w:val="none"/>
          <w:lang w:val="en-US"/>
        </w:rPr>
      </w:pPr>
    </w:p>
    <w:p>
      <w:pPr>
        <w:pStyle w:val="16"/>
        <w:ind w:firstLine="420"/>
        <w:rPr>
          <w:sz w:val="21"/>
          <w:szCs w:val="21"/>
          <w:highlight w:val="none"/>
          <w:lang w:val="en-US"/>
        </w:rPr>
      </w:pPr>
    </w:p>
    <w:p>
      <w:pPr>
        <w:widowControl/>
        <w:jc w:val="center"/>
        <w:rPr>
          <w:rFonts w:ascii="宋体" w:hAnsi="宋体" w:cs="宋体"/>
          <w:b/>
          <w:bCs/>
          <w:color w:val="000000"/>
          <w:kern w:val="0"/>
          <w:sz w:val="21"/>
          <w:szCs w:val="21"/>
          <w:highlight w:val="none"/>
        </w:rPr>
      </w:pPr>
    </w:p>
    <w:p>
      <w:pPr>
        <w:pStyle w:val="16"/>
        <w:ind w:firstLine="0" w:firstLineChars="0"/>
        <w:rPr>
          <w:sz w:val="21"/>
          <w:szCs w:val="21"/>
          <w:highlight w:val="none"/>
          <w:lang w:val="en-US"/>
        </w:rPr>
      </w:pPr>
    </w:p>
    <w:p>
      <w:pPr>
        <w:widowControl/>
        <w:jc w:val="center"/>
        <w:rPr>
          <w:rFonts w:ascii="宋体" w:hAnsi="宋体" w:cs="宋体"/>
          <w:b/>
          <w:bCs/>
          <w:color w:val="000000"/>
          <w:kern w:val="0"/>
          <w:sz w:val="21"/>
          <w:szCs w:val="21"/>
          <w:highlight w:val="none"/>
        </w:rPr>
      </w:pPr>
    </w:p>
    <w:p>
      <w:pPr>
        <w:widowControl/>
        <w:rPr>
          <w:rFonts w:ascii="宋体" w:hAnsi="宋体" w:cs="宋体"/>
          <w:b/>
          <w:bCs/>
          <w:color w:val="000000"/>
          <w:kern w:val="0"/>
          <w:sz w:val="21"/>
          <w:szCs w:val="21"/>
          <w:highlight w:val="none"/>
        </w:rPr>
      </w:pPr>
    </w:p>
    <w:p>
      <w:pPr>
        <w:widowControl/>
        <w:jc w:val="center"/>
        <w:rPr>
          <w:rFonts w:hint="eastAsia" w:ascii="宋体" w:hAnsi="宋体" w:cs="宋体"/>
          <w:b/>
          <w:bCs/>
          <w:color w:val="000000"/>
          <w:kern w:val="0"/>
          <w:sz w:val="21"/>
          <w:szCs w:val="21"/>
          <w:highlight w:val="none"/>
        </w:rPr>
      </w:pPr>
    </w:p>
    <w:p>
      <w:pPr>
        <w:widowControl/>
        <w:jc w:val="center"/>
        <w:rPr>
          <w:rFonts w:hint="eastAsia" w:ascii="宋体" w:hAnsi="宋体" w:cs="宋体"/>
          <w:b/>
          <w:bCs/>
          <w:color w:val="000000"/>
          <w:kern w:val="0"/>
          <w:sz w:val="21"/>
          <w:szCs w:val="21"/>
          <w:highlight w:val="none"/>
        </w:rPr>
      </w:pPr>
    </w:p>
    <w:p>
      <w:pPr>
        <w:widowControl/>
        <w:jc w:val="center"/>
        <w:rPr>
          <w:rFonts w:hint="eastAsia" w:ascii="宋体" w:hAnsi="宋体" w:cs="宋体"/>
          <w:b/>
          <w:bCs/>
          <w:color w:val="000000"/>
          <w:kern w:val="0"/>
          <w:sz w:val="21"/>
          <w:szCs w:val="21"/>
          <w:highlight w:val="none"/>
        </w:rPr>
      </w:pPr>
    </w:p>
    <w:p>
      <w:pPr>
        <w:widowControl/>
        <w:jc w:val="center"/>
        <w:rPr>
          <w:rFonts w:hint="eastAsia" w:ascii="宋体" w:hAnsi="宋体" w:cs="宋体"/>
          <w:b/>
          <w:bCs/>
          <w:color w:val="000000"/>
          <w:kern w:val="0"/>
          <w:sz w:val="21"/>
          <w:szCs w:val="21"/>
          <w:highlight w:val="none"/>
        </w:rPr>
      </w:pPr>
    </w:p>
    <w:p>
      <w:pPr>
        <w:widowControl/>
        <w:jc w:val="center"/>
        <w:rPr>
          <w:rFonts w:hint="eastAsia" w:ascii="宋体" w:hAnsi="宋体" w:cs="宋体"/>
          <w:b/>
          <w:bCs/>
          <w:color w:val="000000"/>
          <w:kern w:val="0"/>
          <w:sz w:val="21"/>
          <w:szCs w:val="21"/>
          <w:highlight w:val="none"/>
        </w:rPr>
      </w:pPr>
    </w:p>
    <w:p>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第一章评审标准</w:t>
      </w:r>
    </w:p>
    <w:p>
      <w:pPr>
        <w:spacing w:line="360" w:lineRule="auto"/>
        <w:ind w:firstLine="420" w:firstLineChars="200"/>
        <w:rPr>
          <w:rFonts w:ascii="Arial" w:hAnsi="Arial" w:cs="Arial"/>
          <w:sz w:val="21"/>
          <w:szCs w:val="21"/>
          <w:highlight w:val="none"/>
        </w:rPr>
      </w:pPr>
      <w:r>
        <w:rPr>
          <w:rFonts w:ascii="Arial" w:hAnsi="Arial" w:cs="Arial"/>
          <w:sz w:val="21"/>
          <w:szCs w:val="21"/>
          <w:highlight w:val="none"/>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tbl>
      <w:tblPr>
        <w:tblStyle w:val="12"/>
        <w:tblW w:w="9747" w:type="dxa"/>
        <w:tblInd w:w="-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3"/>
        <w:gridCol w:w="727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序号</w:t>
            </w:r>
          </w:p>
        </w:tc>
        <w:tc>
          <w:tcPr>
            <w:tcW w:w="110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评分因素</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940" w:firstLineChars="1400"/>
              <w:rPr>
                <w:rFonts w:ascii="宋体" w:hAnsi="宋体"/>
                <w:sz w:val="21"/>
                <w:szCs w:val="21"/>
                <w:highlight w:val="none"/>
              </w:rPr>
            </w:pPr>
            <w:r>
              <w:rPr>
                <w:rFonts w:hint="eastAsia" w:ascii="宋体" w:hAnsi="宋体"/>
                <w:sz w:val="21"/>
                <w:szCs w:val="21"/>
                <w:highlight w:val="none"/>
              </w:rPr>
              <w:t>评分标准</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1</w:t>
            </w:r>
          </w:p>
        </w:tc>
        <w:tc>
          <w:tcPr>
            <w:tcW w:w="1103"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价格</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 w:val="21"/>
                <w:szCs w:val="21"/>
                <w:highlight w:val="none"/>
              </w:rPr>
            </w:pPr>
            <w:r>
              <w:rPr>
                <w:rFonts w:hint="eastAsia" w:ascii="宋体" w:hAnsi="宋体" w:cs="宋体"/>
                <w:kern w:val="0"/>
                <w:sz w:val="21"/>
                <w:szCs w:val="21"/>
                <w:highlight w:val="none"/>
              </w:rPr>
              <w:t>本次招标，以进入详细评审的各投标人评标价的最低值为A值，A值的价格分为满分，即30分。其他投标人的价格分统一按照以下公式计算：投标人评标价得分=（A／该投标人评标价）×30。</w:t>
            </w:r>
          </w:p>
          <w:p>
            <w:pPr>
              <w:spacing w:line="360" w:lineRule="auto"/>
              <w:rPr>
                <w:rFonts w:ascii="宋体" w:hAnsi="宋体"/>
                <w:sz w:val="21"/>
                <w:szCs w:val="21"/>
                <w:highlight w:val="none"/>
              </w:rPr>
            </w:pPr>
            <w:r>
              <w:rPr>
                <w:rFonts w:hint="eastAsia" w:ascii="宋体" w:hAnsi="宋体" w:cs="宋体"/>
                <w:kern w:val="0"/>
                <w:sz w:val="21"/>
                <w:szCs w:val="21"/>
                <w:highlight w:val="none"/>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2</w:t>
            </w:r>
          </w:p>
        </w:tc>
        <w:tc>
          <w:tcPr>
            <w:tcW w:w="1103" w:type="dxa"/>
            <w:tcBorders>
              <w:left w:val="single" w:color="auto" w:sz="4" w:space="0"/>
              <w:right w:val="single" w:color="auto" w:sz="4" w:space="0"/>
            </w:tcBorders>
            <w:noWrap/>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技术</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 w:val="21"/>
                <w:szCs w:val="21"/>
                <w:highlight w:val="none"/>
              </w:rPr>
            </w:pPr>
            <w:r>
              <w:rPr>
                <w:rFonts w:hint="eastAsia" w:ascii="宋体" w:hAnsi="宋体" w:cs="宋体"/>
                <w:sz w:val="21"/>
                <w:szCs w:val="21"/>
                <w:highlight w:val="none"/>
              </w:rPr>
              <w:t>投标文件技术参数完全符合招标文件要求得40分</w:t>
            </w:r>
            <w:r>
              <w:rPr>
                <w:rFonts w:hint="eastAsia"/>
                <w:color w:val="000000"/>
                <w:sz w:val="21"/>
                <w:szCs w:val="21"/>
                <w:highlight w:val="none"/>
              </w:rPr>
              <w:t>。“*”条款为必须满足项，不满足按无效投标处理；“</w:t>
            </w:r>
            <w:r>
              <w:rPr>
                <w:rFonts w:hint="eastAsia" w:ascii="宋体" w:hAnsi="宋体" w:cs="宋体"/>
                <w:sz w:val="21"/>
                <w:szCs w:val="21"/>
                <w:highlight w:val="none"/>
              </w:rPr>
              <w:t>▲</w:t>
            </w:r>
            <w:r>
              <w:rPr>
                <w:rFonts w:hint="eastAsia"/>
                <w:color w:val="000000"/>
                <w:sz w:val="21"/>
                <w:szCs w:val="21"/>
                <w:highlight w:val="none"/>
              </w:rPr>
              <w:t>”条款为重要参数，出现负偏离一项扣3分；其它常规技术参数出现负偏离一项扣1分。扣完为止。</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3.1</w:t>
            </w:r>
          </w:p>
        </w:tc>
        <w:tc>
          <w:tcPr>
            <w:tcW w:w="1103" w:type="dxa"/>
            <w:vMerge w:val="restart"/>
            <w:tcBorders>
              <w:left w:val="single" w:color="auto" w:sz="4" w:space="0"/>
              <w:right w:val="single" w:color="auto" w:sz="4" w:space="0"/>
            </w:tcBorders>
            <w:noWrap/>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服务</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1"/>
                <w:szCs w:val="21"/>
                <w:highlight w:val="none"/>
              </w:rPr>
            </w:pPr>
            <w:r>
              <w:rPr>
                <w:rFonts w:hint="eastAsia" w:ascii="宋体" w:hAnsi="宋体" w:cs="宋体"/>
                <w:kern w:val="0"/>
                <w:sz w:val="21"/>
                <w:szCs w:val="21"/>
                <w:highlight w:val="none"/>
              </w:rPr>
              <w:t>投标人须提交本设备免费质保期的书面承诺书，质保期满足招标文件要求的得2分（质保期1年），质保期超过招标文件规定的年限，每延长一年质保加1分。最多可得6分。</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blHeader/>
        </w:trPr>
        <w:tc>
          <w:tcPr>
            <w:tcW w:w="66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3.2</w:t>
            </w:r>
          </w:p>
        </w:tc>
        <w:tc>
          <w:tcPr>
            <w:tcW w:w="1103" w:type="dxa"/>
            <w:vMerge w:val="continue"/>
            <w:tcBorders>
              <w:left w:val="single" w:color="auto" w:sz="4" w:space="0"/>
              <w:right w:val="single" w:color="auto" w:sz="4" w:space="0"/>
            </w:tcBorders>
            <w:noWrap/>
            <w:vAlign w:val="center"/>
          </w:tcPr>
          <w:p>
            <w:pPr>
              <w:spacing w:line="360" w:lineRule="auto"/>
              <w:jc w:val="center"/>
              <w:rPr>
                <w:rFonts w:ascii="宋体" w:hAnsi="宋体"/>
                <w:sz w:val="21"/>
                <w:szCs w:val="21"/>
                <w:highlight w:val="none"/>
              </w:rPr>
            </w:pP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hAnsi="宋体" w:cs="宋体"/>
                <w:sz w:val="21"/>
                <w:szCs w:val="21"/>
                <w:highlight w:val="none"/>
              </w:rPr>
            </w:pPr>
            <w:r>
              <w:rPr>
                <w:rFonts w:hint="eastAsia"/>
                <w:kern w:val="0"/>
                <w:sz w:val="21"/>
                <w:szCs w:val="21"/>
                <w:highlight w:val="none"/>
              </w:rPr>
              <w:t>故障服务30分钟内响应，4小时内到达现场得3分；故障服务30分钟内响应，4-8小时内到达现场得2分；故障服务响应时间超过30分钟响应，8小时至24小时得1分，24小时以上到达现场不得分。（须提供供应商对本项目的售后服务承诺书并承诺成交后按承诺事项执行，不提供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blHeader/>
        </w:trPr>
        <w:tc>
          <w:tcPr>
            <w:tcW w:w="66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3.3</w:t>
            </w:r>
          </w:p>
        </w:tc>
        <w:tc>
          <w:tcPr>
            <w:tcW w:w="1103" w:type="dxa"/>
            <w:vMerge w:val="continue"/>
            <w:tcBorders>
              <w:left w:val="single" w:color="auto" w:sz="4" w:space="0"/>
              <w:right w:val="single" w:color="auto" w:sz="4" w:space="0"/>
            </w:tcBorders>
            <w:noWrap/>
            <w:vAlign w:val="center"/>
          </w:tcPr>
          <w:p>
            <w:pPr>
              <w:spacing w:line="360" w:lineRule="auto"/>
              <w:jc w:val="center"/>
              <w:rPr>
                <w:rFonts w:ascii="宋体" w:hAnsi="宋体"/>
                <w:sz w:val="21"/>
                <w:szCs w:val="21"/>
                <w:highlight w:val="none"/>
              </w:rPr>
            </w:pP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sz w:val="21"/>
                <w:szCs w:val="21"/>
                <w:highlight w:val="none"/>
              </w:rPr>
            </w:pPr>
            <w:r>
              <w:rPr>
                <w:rFonts w:hint="eastAsia"/>
                <w:sz w:val="21"/>
                <w:szCs w:val="21"/>
                <w:highlight w:val="none"/>
              </w:rPr>
              <w:t>评委根据供应商提供的售后情况（提供售后地址、联系人员、负责人）、备件齐全性（提供常备配件实景照片）、售后人员的专业化程度（提供针对本项目售后人员服务授权书或相关服务资格证书）进行比较。备件齐全、人员专业性强，保障性强得6分；备件较齐全、人员专业性，保障性较强得3分；备件不齐全、人员专业性，保障性一般得1分；未提供的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blHeader/>
        </w:trPr>
        <w:tc>
          <w:tcPr>
            <w:tcW w:w="662" w:type="dxa"/>
            <w:tcBorders>
              <w:top w:val="single" w:color="auto" w:sz="4" w:space="0"/>
              <w:left w:val="single" w:color="auto" w:sz="4" w:space="0"/>
              <w:right w:val="single" w:color="auto" w:sz="4" w:space="0"/>
            </w:tcBorders>
            <w:noWrap/>
            <w:vAlign w:val="center"/>
          </w:tcPr>
          <w:p>
            <w:pPr>
              <w:rPr>
                <w:sz w:val="21"/>
                <w:szCs w:val="21"/>
                <w:highlight w:val="none"/>
              </w:rPr>
            </w:pPr>
            <w:r>
              <w:rPr>
                <w:rFonts w:hint="eastAsia"/>
                <w:sz w:val="21"/>
                <w:szCs w:val="21"/>
                <w:highlight w:val="none"/>
              </w:rPr>
              <w:t>3.4</w:t>
            </w:r>
          </w:p>
        </w:tc>
        <w:tc>
          <w:tcPr>
            <w:tcW w:w="1103" w:type="dxa"/>
            <w:vMerge w:val="continue"/>
            <w:tcBorders>
              <w:left w:val="single" w:color="auto" w:sz="4" w:space="0"/>
              <w:right w:val="single" w:color="auto" w:sz="4" w:space="0"/>
            </w:tcBorders>
            <w:noWrap/>
            <w:vAlign w:val="center"/>
          </w:tcPr>
          <w:p>
            <w:pPr>
              <w:spacing w:line="360" w:lineRule="auto"/>
              <w:jc w:val="center"/>
              <w:rPr>
                <w:rFonts w:ascii="宋体" w:hAnsi="宋体"/>
                <w:sz w:val="21"/>
                <w:szCs w:val="21"/>
                <w:highlight w:val="none"/>
              </w:rPr>
            </w:pP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sz w:val="21"/>
                <w:szCs w:val="21"/>
                <w:highlight w:val="none"/>
              </w:rPr>
            </w:pPr>
            <w:r>
              <w:rPr>
                <w:rFonts w:hint="eastAsia"/>
                <w:sz w:val="21"/>
                <w:szCs w:val="21"/>
                <w:highlight w:val="none"/>
              </w:rPr>
              <w:t>评委根据供应商提供培训方案进行比较。培训方案完整，培训内容详细得3分；培训方案较完整，培训内容较详细得2；培训方案不完整，培训内容不详细不得分。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4</w:t>
            </w:r>
          </w:p>
        </w:tc>
        <w:tc>
          <w:tcPr>
            <w:tcW w:w="1103"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业绩</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1"/>
                <w:szCs w:val="21"/>
                <w:highlight w:val="none"/>
              </w:rPr>
            </w:pPr>
            <w:r>
              <w:rPr>
                <w:rFonts w:hint="eastAsia" w:ascii="宋体" w:hAnsi="宋体"/>
                <w:sz w:val="21"/>
                <w:szCs w:val="21"/>
                <w:highlight w:val="none"/>
              </w:rPr>
              <w:t>提供自2020年1月1日以来投标人完成的类似合同，</w:t>
            </w:r>
            <w:r>
              <w:rPr>
                <w:rFonts w:hint="eastAsia" w:ascii="宋体" w:hAnsi="宋体" w:cs="宋体"/>
                <w:sz w:val="21"/>
                <w:szCs w:val="21"/>
                <w:highlight w:val="none"/>
              </w:rPr>
              <w:t>每提供一个得2分，满分10分。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5</w:t>
            </w:r>
          </w:p>
        </w:tc>
        <w:tc>
          <w:tcPr>
            <w:tcW w:w="1103" w:type="dxa"/>
            <w:tcBorders>
              <w:top w:val="single" w:color="auto" w:sz="4" w:space="0"/>
              <w:left w:val="single" w:color="auto" w:sz="4" w:space="0"/>
              <w:right w:val="single" w:color="auto" w:sz="4" w:space="0"/>
            </w:tcBorders>
            <w:noWrap/>
            <w:vAlign w:val="center"/>
          </w:tcPr>
          <w:p>
            <w:pPr>
              <w:spacing w:line="360" w:lineRule="auto"/>
              <w:rPr>
                <w:rFonts w:ascii="宋体" w:hAnsi="宋体" w:cs="宋体"/>
                <w:sz w:val="21"/>
                <w:szCs w:val="21"/>
                <w:highlight w:val="none"/>
              </w:rPr>
            </w:pPr>
            <w:r>
              <w:rPr>
                <w:rFonts w:hint="eastAsia" w:ascii="宋体" w:hAnsi="宋体" w:cs="宋体"/>
                <w:sz w:val="21"/>
                <w:szCs w:val="21"/>
                <w:highlight w:val="none"/>
              </w:rPr>
              <w:t>国家政策导向</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sz w:val="21"/>
                <w:szCs w:val="21"/>
                <w:highlight w:val="none"/>
              </w:rPr>
            </w:pPr>
            <w:r>
              <w:rPr>
                <w:rFonts w:hint="eastAsia"/>
                <w:sz w:val="21"/>
                <w:szCs w:val="21"/>
                <w:highlight w:val="none"/>
              </w:rPr>
              <w:t>投标产品属于财政部、国家发改委公布的“节能产品品目清单”范围内的，投标人提供国家确定的认证机构出具的、处于有效期之内的该节能产品认证证书得1分，否则不得分。</w:t>
            </w:r>
          </w:p>
          <w:p>
            <w:pPr>
              <w:spacing w:line="360" w:lineRule="auto"/>
              <w:jc w:val="left"/>
              <w:rPr>
                <w:rFonts w:ascii="宋体" w:hAnsi="宋体" w:cs="宋体"/>
                <w:sz w:val="21"/>
                <w:szCs w:val="21"/>
                <w:highlight w:val="none"/>
              </w:rPr>
            </w:pPr>
            <w:r>
              <w:rPr>
                <w:rFonts w:hint="eastAsia"/>
                <w:sz w:val="21"/>
                <w:szCs w:val="21"/>
                <w:highlight w:val="none"/>
              </w:rPr>
              <w:t>投标产品属于财政部、生态环境部公布的“环境标志产品品目清单”范围内的，投标人提供国家确定的认证机构出具的、处于有效期内的该环保产品认证证书得1分，否则不得分。</w:t>
            </w:r>
          </w:p>
        </w:tc>
        <w:tc>
          <w:tcPr>
            <w:tcW w:w="708" w:type="dxa"/>
            <w:tcBorders>
              <w:top w:val="single" w:color="auto" w:sz="4" w:space="0"/>
              <w:left w:val="single" w:color="auto" w:sz="4" w:space="0"/>
              <w:right w:val="single" w:color="auto" w:sz="4" w:space="0"/>
            </w:tcBorders>
            <w:noWrap/>
            <w:vAlign w:val="center"/>
          </w:tcPr>
          <w:p>
            <w:pPr>
              <w:spacing w:line="360" w:lineRule="auto"/>
              <w:rPr>
                <w:rFonts w:ascii="宋体" w:hAnsi="宋体" w:cs="宋体"/>
                <w:sz w:val="21"/>
                <w:szCs w:val="21"/>
                <w:highlight w:val="none"/>
              </w:rPr>
            </w:pPr>
            <w:r>
              <w:rPr>
                <w:rFonts w:hint="eastAsia" w:ascii="宋体" w:hAnsi="宋体" w:cs="宋体"/>
                <w:sz w:val="21"/>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76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合计</w:t>
            </w:r>
          </w:p>
        </w:tc>
        <w:tc>
          <w:tcPr>
            <w:tcW w:w="798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100分</w:t>
            </w:r>
          </w:p>
        </w:tc>
      </w:tr>
    </w:tbl>
    <w:p>
      <w:pPr>
        <w:pStyle w:val="16"/>
        <w:ind w:firstLine="0" w:firstLineChars="0"/>
        <w:rPr>
          <w:rFonts w:ascii="Arial" w:hAnsi="Arial" w:cs="Arial"/>
          <w:b/>
          <w:bCs/>
          <w:sz w:val="21"/>
          <w:szCs w:val="21"/>
          <w:highlight w:val="none"/>
          <w:lang w:val="en-US"/>
        </w:rPr>
      </w:pPr>
    </w:p>
    <w:p>
      <w:pPr>
        <w:pStyle w:val="16"/>
        <w:ind w:firstLine="0" w:firstLineChars="0"/>
        <w:rPr>
          <w:rFonts w:ascii="Arial" w:hAnsi="Arial" w:cs="Arial"/>
          <w:sz w:val="21"/>
          <w:szCs w:val="21"/>
          <w:highlight w:val="none"/>
          <w:lang w:val="en-US"/>
        </w:rPr>
      </w:pPr>
    </w:p>
    <w:p>
      <w:pPr>
        <w:spacing w:line="360" w:lineRule="auto"/>
        <w:rPr>
          <w:rFonts w:ascii="宋体" w:hAnsi="宋体" w:cs="宋体"/>
          <w:b/>
          <w:bCs/>
          <w:color w:val="000000"/>
          <w:kern w:val="0"/>
          <w:sz w:val="21"/>
          <w:szCs w:val="21"/>
          <w:highlight w:val="none"/>
        </w:rPr>
      </w:pPr>
      <w:r>
        <w:rPr>
          <w:rFonts w:ascii="Arial" w:hAnsi="Arial" w:cs="Arial"/>
          <w:b/>
          <w:sz w:val="21"/>
          <w:szCs w:val="21"/>
          <w:highlight w:val="none"/>
        </w:rPr>
        <w:t>说明：所有认证、证明和业绩均以有效清晰的证明文件的复印件为依据，原件备查。</w:t>
      </w:r>
    </w:p>
    <w:p>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第二章   采购需求</w:t>
      </w:r>
    </w:p>
    <w:p>
      <w:pPr>
        <w:widowControl/>
        <w:shd w:val="clear" w:color="auto" w:fill="FFFFFF"/>
        <w:spacing w:line="360" w:lineRule="auto"/>
        <w:rPr>
          <w:rFonts w:ascii="宋体" w:hAnsi="宋体" w:cs="宋体"/>
          <w:b/>
          <w:spacing w:val="8"/>
          <w:kern w:val="0"/>
          <w:sz w:val="21"/>
          <w:szCs w:val="21"/>
          <w:highlight w:val="none"/>
        </w:rPr>
      </w:pPr>
      <w:r>
        <w:rPr>
          <w:rFonts w:hint="eastAsia" w:ascii="宋体" w:hAnsi="宋体" w:cs="宋体"/>
          <w:b/>
          <w:spacing w:val="8"/>
          <w:kern w:val="0"/>
          <w:sz w:val="21"/>
          <w:szCs w:val="21"/>
          <w:highlight w:val="none"/>
        </w:rPr>
        <w:t>一、项目基本情况</w:t>
      </w:r>
    </w:p>
    <w:p>
      <w:pPr>
        <w:pStyle w:val="16"/>
        <w:spacing w:line="360" w:lineRule="auto"/>
        <w:ind w:firstLine="339" w:firstLineChars="150"/>
        <w:rPr>
          <w:rFonts w:asciiTheme="majorEastAsia" w:hAnsiTheme="majorEastAsia" w:eastAsiaTheme="majorEastAsia" w:cstheme="majorEastAsia"/>
          <w:spacing w:val="8"/>
          <w:sz w:val="21"/>
          <w:szCs w:val="21"/>
          <w:highlight w:val="none"/>
          <w:lang w:val="en-US"/>
        </w:rPr>
      </w:pPr>
      <w:r>
        <w:rPr>
          <w:rFonts w:hint="eastAsia" w:asciiTheme="majorEastAsia" w:hAnsiTheme="majorEastAsia" w:eastAsiaTheme="majorEastAsia" w:cstheme="majorEastAsia"/>
          <w:spacing w:val="8"/>
          <w:sz w:val="21"/>
          <w:szCs w:val="21"/>
          <w:highlight w:val="none"/>
          <w:lang w:val="en-US"/>
        </w:rPr>
        <w:t>1.1项目概述：</w:t>
      </w:r>
      <w:r>
        <w:rPr>
          <w:rFonts w:hint="eastAsia" w:ascii="宋体" w:hAnsi="宋体"/>
          <w:sz w:val="21"/>
          <w:szCs w:val="21"/>
          <w:highlight w:val="none"/>
        </w:rPr>
        <w:t>理化科</w:t>
      </w:r>
      <w:r>
        <w:rPr>
          <w:rFonts w:hint="eastAsia" w:ascii="宋体" w:hAnsi="宋体"/>
          <w:sz w:val="21"/>
          <w:szCs w:val="21"/>
          <w:highlight w:val="none"/>
          <w:lang w:eastAsia="zh-CN"/>
        </w:rPr>
        <w:t>研磨仪</w:t>
      </w:r>
      <w:r>
        <w:rPr>
          <w:rFonts w:hint="eastAsia" w:ascii="宋体" w:hAnsi="宋体"/>
          <w:sz w:val="21"/>
          <w:szCs w:val="21"/>
          <w:highlight w:val="none"/>
        </w:rPr>
        <w:t>等小型设备</w:t>
      </w:r>
    </w:p>
    <w:p>
      <w:pPr>
        <w:shd w:val="clear" w:color="auto" w:fill="FFFFFF" w:themeFill="background1"/>
        <w:spacing w:line="360" w:lineRule="auto"/>
        <w:ind w:firstLine="370"/>
        <w:rPr>
          <w:rFonts w:asciiTheme="majorEastAsia" w:hAnsiTheme="majorEastAsia" w:eastAsiaTheme="majorEastAsia" w:cstheme="majorEastAsia"/>
          <w:spacing w:val="8"/>
          <w:sz w:val="21"/>
          <w:szCs w:val="21"/>
          <w:highlight w:val="none"/>
        </w:rPr>
      </w:pPr>
      <w:r>
        <w:rPr>
          <w:rFonts w:hint="eastAsia" w:asciiTheme="majorEastAsia" w:hAnsiTheme="majorEastAsia" w:eastAsiaTheme="majorEastAsia" w:cstheme="majorEastAsia"/>
          <w:spacing w:val="8"/>
          <w:sz w:val="21"/>
          <w:szCs w:val="21"/>
          <w:highlight w:val="none"/>
        </w:rPr>
        <w:t>1.2项目需求：南京市疾病预防控制中心</w:t>
      </w:r>
      <w:r>
        <w:rPr>
          <w:rFonts w:hint="eastAsia" w:ascii="宋体" w:hAnsi="宋体"/>
          <w:sz w:val="21"/>
          <w:szCs w:val="21"/>
          <w:highlight w:val="none"/>
        </w:rPr>
        <w:t>理化科</w:t>
      </w:r>
      <w:r>
        <w:rPr>
          <w:rFonts w:hint="eastAsia" w:ascii="宋体" w:hAnsi="宋体"/>
          <w:sz w:val="21"/>
          <w:szCs w:val="21"/>
          <w:highlight w:val="none"/>
          <w:lang w:eastAsia="zh-CN"/>
        </w:rPr>
        <w:t>研磨仪</w:t>
      </w:r>
      <w:r>
        <w:rPr>
          <w:rFonts w:hint="eastAsia" w:ascii="宋体" w:hAnsi="宋体"/>
          <w:sz w:val="21"/>
          <w:szCs w:val="21"/>
          <w:highlight w:val="none"/>
        </w:rPr>
        <w:t>等小型设备</w:t>
      </w:r>
      <w:r>
        <w:rPr>
          <w:rFonts w:hint="eastAsia" w:asciiTheme="majorEastAsia" w:hAnsiTheme="majorEastAsia" w:eastAsiaTheme="majorEastAsia" w:cstheme="majorEastAsia"/>
          <w:spacing w:val="8"/>
          <w:sz w:val="21"/>
          <w:szCs w:val="21"/>
          <w:highlight w:val="none"/>
        </w:rPr>
        <w:t>，项目采用综合打分法，现欢迎符合相关条件的供应商参加投标。</w:t>
      </w:r>
    </w:p>
    <w:p>
      <w:pPr>
        <w:shd w:val="clear" w:color="auto" w:fill="FFFFFF" w:themeFill="background1"/>
        <w:spacing w:line="360" w:lineRule="auto"/>
        <w:ind w:firstLine="370"/>
        <w:rPr>
          <w:rFonts w:ascii="宋体" w:hAnsi="宋体"/>
          <w:sz w:val="21"/>
          <w:szCs w:val="21"/>
          <w:highlight w:val="none"/>
        </w:rPr>
      </w:pPr>
      <w:r>
        <w:rPr>
          <w:rFonts w:hint="eastAsia" w:asciiTheme="majorEastAsia" w:hAnsiTheme="majorEastAsia" w:eastAsiaTheme="majorEastAsia" w:cstheme="majorEastAsia"/>
          <w:spacing w:val="8"/>
          <w:sz w:val="21"/>
          <w:szCs w:val="21"/>
          <w:highlight w:val="none"/>
        </w:rPr>
        <w:t>1.3项目名称：南京市疾病预防控制中心</w:t>
      </w:r>
      <w:r>
        <w:rPr>
          <w:rFonts w:hint="eastAsia" w:ascii="宋体" w:hAnsi="宋体"/>
          <w:sz w:val="21"/>
          <w:szCs w:val="21"/>
          <w:highlight w:val="none"/>
        </w:rPr>
        <w:t>理化科</w:t>
      </w:r>
      <w:r>
        <w:rPr>
          <w:rFonts w:hint="eastAsia" w:ascii="宋体" w:hAnsi="宋体"/>
          <w:sz w:val="21"/>
          <w:szCs w:val="21"/>
          <w:highlight w:val="none"/>
          <w:lang w:eastAsia="zh-CN"/>
        </w:rPr>
        <w:t>研磨仪</w:t>
      </w:r>
      <w:r>
        <w:rPr>
          <w:rFonts w:hint="eastAsia" w:ascii="宋体" w:hAnsi="宋体"/>
          <w:sz w:val="21"/>
          <w:szCs w:val="21"/>
          <w:highlight w:val="none"/>
        </w:rPr>
        <w:t>等小型设备采购项目</w:t>
      </w:r>
    </w:p>
    <w:p>
      <w:pPr>
        <w:pStyle w:val="5"/>
        <w:ind w:left="0" w:leftChars="0"/>
        <w:rPr>
          <w:sz w:val="21"/>
          <w:szCs w:val="21"/>
          <w:highlight w:val="none"/>
        </w:rPr>
      </w:pPr>
      <w:r>
        <w:rPr>
          <w:rFonts w:hint="eastAsia" w:asciiTheme="majorEastAsia" w:hAnsiTheme="majorEastAsia" w:eastAsiaTheme="majorEastAsia" w:cstheme="majorEastAsia"/>
          <w:spacing w:val="8"/>
          <w:sz w:val="21"/>
          <w:szCs w:val="21"/>
          <w:highlight w:val="none"/>
        </w:rPr>
        <w:t xml:space="preserve">  1.4预算总金额：18.08万元</w:t>
      </w:r>
    </w:p>
    <w:p>
      <w:pPr>
        <w:shd w:val="clear" w:color="auto" w:fill="FFFFFF" w:themeFill="background1"/>
        <w:spacing w:line="360" w:lineRule="auto"/>
        <w:ind w:firstLine="370"/>
        <w:rPr>
          <w:rFonts w:asciiTheme="majorEastAsia" w:hAnsiTheme="majorEastAsia" w:eastAsiaTheme="majorEastAsia" w:cstheme="majorEastAsia"/>
          <w:spacing w:val="8"/>
          <w:sz w:val="21"/>
          <w:szCs w:val="21"/>
          <w:highlight w:val="none"/>
        </w:rPr>
      </w:pPr>
      <w:r>
        <w:rPr>
          <w:rFonts w:hint="eastAsia" w:asciiTheme="majorEastAsia" w:hAnsiTheme="majorEastAsia" w:eastAsiaTheme="majorEastAsia" w:cstheme="majorEastAsia"/>
          <w:spacing w:val="8"/>
          <w:sz w:val="21"/>
          <w:szCs w:val="21"/>
          <w:highlight w:val="none"/>
        </w:rPr>
        <w:t>1.5设备采购配置</w:t>
      </w:r>
    </w:p>
    <w:tbl>
      <w:tblPr>
        <w:tblStyle w:val="12"/>
        <w:tblW w:w="5094" w:type="pct"/>
        <w:tblInd w:w="-2" w:type="dxa"/>
        <w:tblLayout w:type="autofit"/>
        <w:tblCellMar>
          <w:top w:w="0" w:type="dxa"/>
          <w:left w:w="0" w:type="dxa"/>
          <w:bottom w:w="0" w:type="dxa"/>
          <w:right w:w="0" w:type="dxa"/>
        </w:tblCellMar>
      </w:tblPr>
      <w:tblGrid>
        <w:gridCol w:w="1161"/>
        <w:gridCol w:w="3648"/>
        <w:gridCol w:w="999"/>
        <w:gridCol w:w="749"/>
        <w:gridCol w:w="856"/>
        <w:gridCol w:w="1080"/>
      </w:tblGrid>
      <w:tr>
        <w:tblPrEx>
          <w:tblCellMar>
            <w:top w:w="0" w:type="dxa"/>
            <w:left w:w="0" w:type="dxa"/>
            <w:bottom w:w="0" w:type="dxa"/>
            <w:right w:w="0" w:type="dxa"/>
          </w:tblCellMar>
        </w:tblPrEx>
        <w:trPr>
          <w:trHeight w:val="500"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序号</w:t>
            </w:r>
          </w:p>
        </w:tc>
        <w:tc>
          <w:tcPr>
            <w:tcW w:w="2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名称</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 xml:space="preserve">数量 </w:t>
            </w:r>
          </w:p>
        </w:tc>
        <w:tc>
          <w:tcPr>
            <w:tcW w:w="45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单价</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总价</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是否接受进</w:t>
            </w:r>
          </w:p>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口产品投标</w:t>
            </w:r>
          </w:p>
        </w:tc>
      </w:tr>
      <w:tr>
        <w:tblPrEx>
          <w:tblCellMar>
            <w:top w:w="0" w:type="dxa"/>
            <w:left w:w="0" w:type="dxa"/>
            <w:bottom w:w="0" w:type="dxa"/>
            <w:right w:w="0" w:type="dxa"/>
          </w:tblCellMar>
        </w:tblPrEx>
        <w:trPr>
          <w:trHeight w:val="499"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1</w:t>
            </w:r>
          </w:p>
        </w:tc>
        <w:tc>
          <w:tcPr>
            <w:tcW w:w="2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highlight w:val="none"/>
                <w:lang w:val="zh-CN"/>
              </w:rPr>
            </w:pPr>
            <w:r>
              <w:rPr>
                <w:rFonts w:hint="eastAsia" w:ascii="宋体" w:hAnsi="宋体" w:cs="宋体"/>
                <w:sz w:val="21"/>
                <w:szCs w:val="21"/>
                <w:highlight w:val="none"/>
                <w:lang w:val="zh-CN"/>
              </w:rPr>
              <w:t>刀式研磨仪</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lang w:val="zh-CN"/>
              </w:rPr>
              <w:t>1</w:t>
            </w:r>
          </w:p>
        </w:tc>
        <w:tc>
          <w:tcPr>
            <w:tcW w:w="45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50000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50000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否</w:t>
            </w:r>
          </w:p>
        </w:tc>
      </w:tr>
      <w:tr>
        <w:tblPrEx>
          <w:tblCellMar>
            <w:top w:w="0" w:type="dxa"/>
            <w:left w:w="0" w:type="dxa"/>
            <w:bottom w:w="0" w:type="dxa"/>
            <w:right w:w="0" w:type="dxa"/>
          </w:tblCellMar>
        </w:tblPrEx>
        <w:trPr>
          <w:trHeight w:val="499"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2</w:t>
            </w:r>
          </w:p>
        </w:tc>
        <w:tc>
          <w:tcPr>
            <w:tcW w:w="2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highlight w:val="none"/>
                <w:lang w:val="zh-CN"/>
              </w:rPr>
            </w:pPr>
            <w:r>
              <w:rPr>
                <w:rFonts w:hint="eastAsia" w:ascii="宋体" w:hAnsi="宋体" w:cs="宋体"/>
                <w:sz w:val="21"/>
                <w:szCs w:val="21"/>
                <w:highlight w:val="none"/>
                <w:lang w:val="zh-CN"/>
              </w:rPr>
              <w:t>电热鼓风干燥箱</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1</w:t>
            </w:r>
          </w:p>
        </w:tc>
        <w:tc>
          <w:tcPr>
            <w:tcW w:w="45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50000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50000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是</w:t>
            </w:r>
          </w:p>
        </w:tc>
      </w:tr>
      <w:tr>
        <w:tblPrEx>
          <w:tblCellMar>
            <w:top w:w="0" w:type="dxa"/>
            <w:left w:w="0" w:type="dxa"/>
            <w:bottom w:w="0" w:type="dxa"/>
            <w:right w:w="0" w:type="dxa"/>
          </w:tblCellMar>
        </w:tblPrEx>
        <w:trPr>
          <w:trHeight w:val="499"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3</w:t>
            </w:r>
          </w:p>
        </w:tc>
        <w:tc>
          <w:tcPr>
            <w:tcW w:w="2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highlight w:val="none"/>
                <w:lang w:val="zh-CN"/>
              </w:rPr>
            </w:pPr>
            <w:r>
              <w:rPr>
                <w:rFonts w:hint="eastAsia" w:ascii="宋体" w:hAnsi="宋体" w:cs="宋体"/>
                <w:sz w:val="21"/>
                <w:szCs w:val="21"/>
                <w:highlight w:val="none"/>
                <w:lang w:val="zh-CN"/>
              </w:rPr>
              <w:t>瓶口分液器</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highlight w:val="none"/>
              </w:rPr>
            </w:pPr>
            <w:r>
              <w:rPr>
                <w:rFonts w:hint="eastAsia" w:ascii="宋体" w:hAnsi="宋体" w:cs="宋体"/>
                <w:sz w:val="21"/>
                <w:szCs w:val="21"/>
                <w:highlight w:val="none"/>
              </w:rPr>
              <w:t>2</w:t>
            </w:r>
          </w:p>
        </w:tc>
        <w:tc>
          <w:tcPr>
            <w:tcW w:w="45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kern w:val="0"/>
                <w:sz w:val="21"/>
                <w:szCs w:val="21"/>
                <w:highlight w:val="none"/>
              </w:rPr>
            </w:pPr>
            <w:r>
              <w:rPr>
                <w:rFonts w:hint="eastAsia" w:ascii="宋体" w:hAnsi="宋体" w:cs="宋体"/>
                <w:sz w:val="21"/>
                <w:szCs w:val="21"/>
                <w:highlight w:val="none"/>
              </w:rPr>
              <w:t>4900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1"/>
                <w:szCs w:val="21"/>
                <w:highlight w:val="none"/>
              </w:rPr>
            </w:pPr>
            <w:r>
              <w:rPr>
                <w:rFonts w:hint="eastAsia" w:ascii="宋体" w:hAnsi="宋体" w:cs="宋体"/>
                <w:sz w:val="21"/>
                <w:szCs w:val="21"/>
                <w:highlight w:val="none"/>
              </w:rPr>
              <w:t>9800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是</w:t>
            </w:r>
          </w:p>
        </w:tc>
      </w:tr>
      <w:tr>
        <w:tblPrEx>
          <w:tblCellMar>
            <w:top w:w="0" w:type="dxa"/>
            <w:left w:w="0" w:type="dxa"/>
            <w:bottom w:w="0" w:type="dxa"/>
            <w:right w:w="0" w:type="dxa"/>
          </w:tblCellMar>
        </w:tblPrEx>
        <w:trPr>
          <w:trHeight w:val="499"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4</w:t>
            </w:r>
          </w:p>
        </w:tc>
        <w:tc>
          <w:tcPr>
            <w:tcW w:w="2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highlight w:val="none"/>
                <w:lang w:val="zh-CN"/>
              </w:rPr>
            </w:pPr>
            <w:r>
              <w:rPr>
                <w:rFonts w:hint="eastAsia" w:ascii="宋体" w:hAnsi="宋体" w:cs="宋体"/>
                <w:sz w:val="21"/>
                <w:szCs w:val="21"/>
                <w:highlight w:val="none"/>
                <w:lang w:val="zh-CN"/>
              </w:rPr>
              <w:t>天平减震台</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highlight w:val="none"/>
              </w:rPr>
            </w:pPr>
            <w:r>
              <w:rPr>
                <w:rFonts w:hint="eastAsia" w:ascii="宋体" w:hAnsi="宋体" w:cs="宋体"/>
                <w:sz w:val="21"/>
                <w:szCs w:val="21"/>
                <w:highlight w:val="none"/>
              </w:rPr>
              <w:t>6</w:t>
            </w:r>
          </w:p>
        </w:tc>
        <w:tc>
          <w:tcPr>
            <w:tcW w:w="45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6000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1"/>
                <w:szCs w:val="21"/>
                <w:highlight w:val="none"/>
              </w:rPr>
            </w:pPr>
            <w:r>
              <w:rPr>
                <w:rFonts w:hint="eastAsia" w:ascii="宋体" w:hAnsi="宋体" w:cs="宋体"/>
                <w:sz w:val="21"/>
                <w:szCs w:val="21"/>
                <w:highlight w:val="none"/>
              </w:rPr>
              <w:t>36000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否</w:t>
            </w:r>
          </w:p>
        </w:tc>
      </w:tr>
      <w:tr>
        <w:tblPrEx>
          <w:tblCellMar>
            <w:top w:w="0" w:type="dxa"/>
            <w:left w:w="0" w:type="dxa"/>
            <w:bottom w:w="0" w:type="dxa"/>
            <w:right w:w="0" w:type="dxa"/>
          </w:tblCellMar>
        </w:tblPrEx>
        <w:trPr>
          <w:trHeight w:val="499"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5</w:t>
            </w:r>
          </w:p>
        </w:tc>
        <w:tc>
          <w:tcPr>
            <w:tcW w:w="2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highlight w:val="none"/>
                <w:lang w:val="zh-CN"/>
              </w:rPr>
            </w:pPr>
            <w:r>
              <w:rPr>
                <w:rFonts w:hint="eastAsia" w:ascii="宋体" w:hAnsi="宋体" w:cs="宋体"/>
                <w:sz w:val="21"/>
                <w:szCs w:val="21"/>
                <w:highlight w:val="none"/>
                <w:lang w:val="zh-CN"/>
              </w:rPr>
              <w:t>消解仪</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1</w:t>
            </w:r>
          </w:p>
        </w:tc>
        <w:tc>
          <w:tcPr>
            <w:tcW w:w="45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26000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26000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否</w:t>
            </w:r>
          </w:p>
        </w:tc>
      </w:tr>
      <w:tr>
        <w:tblPrEx>
          <w:tblCellMar>
            <w:top w:w="0" w:type="dxa"/>
            <w:left w:w="0" w:type="dxa"/>
            <w:bottom w:w="0" w:type="dxa"/>
            <w:right w:w="0" w:type="dxa"/>
          </w:tblCellMar>
        </w:tblPrEx>
        <w:trPr>
          <w:trHeight w:val="499"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6</w:t>
            </w:r>
          </w:p>
        </w:tc>
        <w:tc>
          <w:tcPr>
            <w:tcW w:w="2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highlight w:val="none"/>
                <w:lang w:val="zh-CN"/>
              </w:rPr>
            </w:pPr>
            <w:r>
              <w:rPr>
                <w:rFonts w:hint="eastAsia" w:ascii="宋体" w:hAnsi="宋体" w:cs="宋体"/>
                <w:sz w:val="21"/>
                <w:szCs w:val="21"/>
                <w:highlight w:val="none"/>
                <w:lang w:val="zh-CN"/>
              </w:rPr>
              <w:t>移液器</w:t>
            </w:r>
          </w:p>
        </w:tc>
        <w:tc>
          <w:tcPr>
            <w:tcW w:w="6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3</w:t>
            </w:r>
          </w:p>
        </w:tc>
        <w:tc>
          <w:tcPr>
            <w:tcW w:w="45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3000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9000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是</w:t>
            </w:r>
          </w:p>
        </w:tc>
      </w:tr>
      <w:tr>
        <w:tblPrEx>
          <w:tblCellMar>
            <w:top w:w="0" w:type="dxa"/>
            <w:left w:w="0" w:type="dxa"/>
            <w:bottom w:w="0" w:type="dxa"/>
            <w:right w:w="0" w:type="dxa"/>
          </w:tblCellMar>
        </w:tblPrEx>
        <w:trPr>
          <w:trHeight w:val="49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合计：</w:t>
            </w:r>
            <w:r>
              <w:rPr>
                <w:rFonts w:hint="eastAsia" w:ascii="宋体" w:hAnsi="宋体" w:cs="宋体"/>
                <w:sz w:val="21"/>
                <w:szCs w:val="21"/>
                <w:highlight w:val="none"/>
              </w:rPr>
              <w:t>180800</w:t>
            </w:r>
            <w:r>
              <w:rPr>
                <w:rFonts w:hint="eastAsia" w:ascii="宋体" w:hAnsi="宋体" w:cs="宋体"/>
                <w:kern w:val="0"/>
                <w:sz w:val="21"/>
                <w:szCs w:val="21"/>
                <w:highlight w:val="none"/>
              </w:rPr>
              <w:t>.</w:t>
            </w:r>
            <w:r>
              <w:rPr>
                <w:rFonts w:ascii="宋体" w:hAnsi="宋体" w:cs="宋体"/>
                <w:kern w:val="0"/>
                <w:sz w:val="21"/>
                <w:szCs w:val="21"/>
                <w:highlight w:val="none"/>
              </w:rPr>
              <w:t>00</w:t>
            </w:r>
          </w:p>
        </w:tc>
      </w:tr>
    </w:tbl>
    <w:p>
      <w:pPr>
        <w:autoSpaceDE w:val="0"/>
        <w:autoSpaceDN w:val="0"/>
        <w:adjustRightInd w:val="0"/>
        <w:spacing w:line="360" w:lineRule="auto"/>
        <w:ind w:firstLine="210" w:firstLineChars="100"/>
        <w:rPr>
          <w:rFonts w:ascii="宋体" w:hAnsi="宋体" w:cs="宋体"/>
          <w:spacing w:val="8"/>
          <w:kern w:val="0"/>
          <w:sz w:val="21"/>
          <w:szCs w:val="21"/>
          <w:highlight w:val="none"/>
        </w:rPr>
      </w:pPr>
      <w:r>
        <w:rPr>
          <w:rFonts w:hint="eastAsia" w:ascii="宋体" w:hAnsi="宋体" w:cs="宋体"/>
          <w:sz w:val="21"/>
          <w:szCs w:val="21"/>
          <w:highlight w:val="none"/>
        </w:rPr>
        <w:t>1.6</w:t>
      </w:r>
      <w:r>
        <w:rPr>
          <w:rFonts w:hint="eastAsia" w:ascii="宋体" w:hAnsi="宋体" w:cs="宋体"/>
          <w:spacing w:val="8"/>
          <w:kern w:val="0"/>
          <w:sz w:val="21"/>
          <w:szCs w:val="21"/>
          <w:highlight w:val="none"/>
        </w:rPr>
        <w:t>合同履行期限：合同签订之日起三十日内完成送货。</w:t>
      </w:r>
    </w:p>
    <w:p>
      <w:pPr>
        <w:pStyle w:val="16"/>
        <w:ind w:firstLine="420"/>
        <w:rPr>
          <w:sz w:val="21"/>
          <w:szCs w:val="21"/>
          <w:highlight w:val="none"/>
          <w:lang w:val="en-US"/>
        </w:rPr>
      </w:pPr>
    </w:p>
    <w:p>
      <w:pPr>
        <w:pStyle w:val="16"/>
        <w:ind w:firstLine="420"/>
        <w:rPr>
          <w:sz w:val="21"/>
          <w:szCs w:val="21"/>
          <w:highlight w:val="none"/>
          <w:lang w:val="en-US"/>
        </w:rPr>
      </w:pPr>
    </w:p>
    <w:p>
      <w:pPr>
        <w:pStyle w:val="16"/>
        <w:numPr>
          <w:ilvl w:val="0"/>
          <w:numId w:val="5"/>
        </w:numPr>
        <w:ind w:firstLine="0" w:firstLineChars="0"/>
        <w:rPr>
          <w:b/>
          <w:sz w:val="21"/>
          <w:szCs w:val="21"/>
          <w:highlight w:val="none"/>
        </w:rPr>
      </w:pPr>
      <w:r>
        <w:rPr>
          <w:rFonts w:hint="eastAsia"/>
          <w:b/>
          <w:sz w:val="21"/>
          <w:szCs w:val="21"/>
          <w:highlight w:val="none"/>
        </w:rPr>
        <w:t>技术要求</w:t>
      </w:r>
    </w:p>
    <w:p>
      <w:pPr>
        <w:autoSpaceDE w:val="0"/>
        <w:autoSpaceDN w:val="0"/>
        <w:adjustRightInd w:val="0"/>
        <w:spacing w:line="360" w:lineRule="auto"/>
        <w:ind w:firstLine="454" w:firstLineChars="200"/>
        <w:jc w:val="left"/>
        <w:rPr>
          <w:rFonts w:ascii="宋体" w:hAnsi="宋体" w:cs="宋体"/>
          <w:b/>
          <w:bCs/>
          <w:spacing w:val="8"/>
          <w:kern w:val="0"/>
          <w:sz w:val="21"/>
          <w:szCs w:val="21"/>
          <w:highlight w:val="none"/>
        </w:rPr>
      </w:pPr>
      <w:r>
        <w:rPr>
          <w:rFonts w:hint="eastAsia" w:ascii="宋体" w:hAnsi="宋体" w:cs="宋体"/>
          <w:b/>
          <w:bCs/>
          <w:spacing w:val="8"/>
          <w:kern w:val="0"/>
          <w:sz w:val="21"/>
          <w:szCs w:val="21"/>
          <w:highlight w:val="none"/>
        </w:rPr>
        <w:t>对打“*”和“▲”项必须在投标文件中提供技术支持资料（详见技术参数具体条目要求），未提供技术资料的视为未对招标文件实质性要求作出响应，评审时不予以认可。技术支持资料内容须清晰可见。</w:t>
      </w:r>
    </w:p>
    <w:p>
      <w:pPr>
        <w:spacing w:line="360" w:lineRule="auto"/>
        <w:ind w:firstLine="422" w:firstLineChars="200"/>
        <w:jc w:val="left"/>
        <w:rPr>
          <w:rFonts w:ascii="宋体" w:hAnsi="宋体" w:cs="宋体"/>
          <w:b/>
          <w:bCs/>
          <w:kern w:val="0"/>
          <w:sz w:val="21"/>
          <w:szCs w:val="21"/>
          <w:highlight w:val="none"/>
        </w:rPr>
      </w:pPr>
      <w:r>
        <w:rPr>
          <w:rFonts w:hint="eastAsia" w:ascii="宋体" w:hAnsi="宋体" w:cs="宋体"/>
          <w:b/>
          <w:bCs/>
          <w:kern w:val="0"/>
          <w:sz w:val="21"/>
          <w:szCs w:val="21"/>
          <w:highlight w:val="none"/>
        </w:rPr>
        <w:t>文件中所有设备配置要求为招标文件实质性要求不接受负偏离，要求投标商必须在响应文件中进行逐项应答否则按无效报价文件处理。</w:t>
      </w:r>
    </w:p>
    <w:p>
      <w:pPr>
        <w:pStyle w:val="5"/>
        <w:ind w:left="0" w:leftChars="0"/>
        <w:rPr>
          <w:sz w:val="21"/>
          <w:szCs w:val="21"/>
          <w:highlight w:val="none"/>
        </w:rPr>
      </w:pPr>
    </w:p>
    <w:p>
      <w:pPr>
        <w:adjustRightInd w:val="0"/>
        <w:snapToGrid w:val="0"/>
        <w:spacing w:line="360" w:lineRule="auto"/>
        <w:rPr>
          <w:rFonts w:ascii="宋体" w:hAnsi="宋体" w:cs="宋体"/>
          <w:b/>
          <w:color w:val="000000"/>
          <w:sz w:val="21"/>
          <w:szCs w:val="21"/>
          <w:highlight w:val="none"/>
        </w:rPr>
      </w:pPr>
      <w:r>
        <w:rPr>
          <w:rFonts w:hint="eastAsia" w:ascii="宋体" w:hAnsi="宋体" w:cs="宋体"/>
          <w:b/>
          <w:color w:val="000000"/>
          <w:sz w:val="21"/>
          <w:szCs w:val="21"/>
          <w:highlight w:val="none"/>
        </w:rPr>
        <w:t>三、技术参数</w:t>
      </w:r>
    </w:p>
    <w:p>
      <w:pPr>
        <w:pStyle w:val="16"/>
        <w:numPr>
          <w:ilvl w:val="0"/>
          <w:numId w:val="6"/>
        </w:numPr>
        <w:spacing w:line="360" w:lineRule="auto"/>
        <w:ind w:firstLine="0" w:firstLineChars="0"/>
        <w:rPr>
          <w:rFonts w:ascii="宋体" w:hAnsi="宋体" w:cs="宋体"/>
          <w:b/>
          <w:bCs/>
          <w:sz w:val="21"/>
          <w:szCs w:val="21"/>
          <w:highlight w:val="none"/>
          <w:lang w:val="en-US"/>
        </w:rPr>
      </w:pPr>
      <w:r>
        <w:rPr>
          <w:rFonts w:hint="eastAsia" w:ascii="宋体" w:hAnsi="宋体" w:cs="宋体"/>
          <w:b/>
          <w:bCs/>
          <w:sz w:val="21"/>
          <w:szCs w:val="21"/>
          <w:highlight w:val="none"/>
        </w:rPr>
        <w:t>刀式研磨仪</w:t>
      </w:r>
    </w:p>
    <w:p>
      <w:pPr>
        <w:pStyle w:val="5"/>
        <w:spacing w:line="360" w:lineRule="auto"/>
        <w:ind w:left="0" w:leftChars="0"/>
        <w:rPr>
          <w:rFonts w:ascii="宋体" w:hAnsi="宋体" w:cs="宋体"/>
          <w:color w:val="000000"/>
          <w:sz w:val="21"/>
          <w:szCs w:val="21"/>
          <w:highlight w:val="none"/>
        </w:rPr>
      </w:pPr>
      <w:r>
        <w:rPr>
          <w:rFonts w:hint="eastAsia" w:ascii="Times New Roman" w:hAnsi="Times New Roman"/>
          <w:b/>
          <w:bCs/>
          <w:sz w:val="21"/>
          <w:szCs w:val="21"/>
          <w:highlight w:val="none"/>
        </w:rPr>
        <w:t>配置要求：</w:t>
      </w:r>
    </w:p>
    <w:tbl>
      <w:tblPr>
        <w:tblStyle w:val="12"/>
        <w:tblW w:w="7951" w:type="dxa"/>
        <w:jc w:val="center"/>
        <w:tblLayout w:type="fixed"/>
        <w:tblCellMar>
          <w:top w:w="0" w:type="dxa"/>
          <w:left w:w="108" w:type="dxa"/>
          <w:bottom w:w="0" w:type="dxa"/>
          <w:right w:w="108" w:type="dxa"/>
        </w:tblCellMar>
      </w:tblPr>
      <w:tblGrid>
        <w:gridCol w:w="1539"/>
        <w:gridCol w:w="3337"/>
        <w:gridCol w:w="1016"/>
        <w:gridCol w:w="2059"/>
      </w:tblGrid>
      <w:tr>
        <w:tblPrEx>
          <w:tblCellMar>
            <w:top w:w="0" w:type="dxa"/>
            <w:left w:w="108" w:type="dxa"/>
            <w:bottom w:w="0" w:type="dxa"/>
            <w:right w:w="108" w:type="dxa"/>
          </w:tblCellMar>
        </w:tblPrEx>
        <w:trPr>
          <w:trHeight w:val="360" w:hRule="atLeast"/>
          <w:jc w:val="center"/>
        </w:trPr>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rPr>
              <w:t>序 号</w:t>
            </w: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名称</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rPr>
              <w:t>单位</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rPr>
              <w:t>数量</w:t>
            </w:r>
          </w:p>
        </w:tc>
      </w:tr>
      <w:tr>
        <w:tblPrEx>
          <w:tblCellMar>
            <w:top w:w="0" w:type="dxa"/>
            <w:left w:w="108" w:type="dxa"/>
            <w:bottom w:w="0" w:type="dxa"/>
            <w:right w:w="108" w:type="dxa"/>
          </w:tblCellMar>
        </w:tblPrEx>
        <w:trPr>
          <w:trHeight w:val="642" w:hRule="atLeast"/>
          <w:jc w:val="center"/>
        </w:trPr>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rPr>
              <w:t>1</w:t>
            </w:r>
          </w:p>
        </w:tc>
        <w:tc>
          <w:tcPr>
            <w:tcW w:w="3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刀式研磨仪主机</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台</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1</w:t>
            </w:r>
          </w:p>
        </w:tc>
      </w:tr>
      <w:tr>
        <w:tblPrEx>
          <w:tblCellMar>
            <w:top w:w="0" w:type="dxa"/>
            <w:left w:w="108" w:type="dxa"/>
            <w:bottom w:w="0" w:type="dxa"/>
            <w:right w:w="108" w:type="dxa"/>
          </w:tblCellMar>
        </w:tblPrEx>
        <w:trPr>
          <w:trHeight w:val="499" w:hRule="atLeast"/>
          <w:jc w:val="center"/>
        </w:trPr>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rPr>
              <w:t>2</w:t>
            </w:r>
          </w:p>
        </w:tc>
        <w:tc>
          <w:tcPr>
            <w:tcW w:w="3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PC制研磨杯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个</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4</w:t>
            </w:r>
          </w:p>
        </w:tc>
      </w:tr>
      <w:tr>
        <w:tblPrEx>
          <w:tblCellMar>
            <w:top w:w="0" w:type="dxa"/>
            <w:left w:w="108" w:type="dxa"/>
            <w:bottom w:w="0" w:type="dxa"/>
            <w:right w:w="108" w:type="dxa"/>
          </w:tblCellMar>
        </w:tblPrEx>
        <w:trPr>
          <w:trHeight w:val="499" w:hRule="atLeast"/>
          <w:jc w:val="center"/>
        </w:trPr>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rPr>
              <w:t>3</w:t>
            </w:r>
          </w:p>
        </w:tc>
        <w:tc>
          <w:tcPr>
            <w:tcW w:w="3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 xml:space="preserve"> 不锈钢制研磨杯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个</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2</w:t>
            </w:r>
          </w:p>
        </w:tc>
      </w:tr>
      <w:tr>
        <w:tblPrEx>
          <w:tblCellMar>
            <w:top w:w="0" w:type="dxa"/>
            <w:left w:w="108" w:type="dxa"/>
            <w:bottom w:w="0" w:type="dxa"/>
            <w:right w:w="108" w:type="dxa"/>
          </w:tblCellMar>
        </w:tblPrEx>
        <w:trPr>
          <w:trHeight w:val="499" w:hRule="atLeast"/>
          <w:jc w:val="center"/>
        </w:trPr>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rPr>
              <w:t>4</w:t>
            </w:r>
          </w:p>
        </w:tc>
        <w:tc>
          <w:tcPr>
            <w:tcW w:w="3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PP标准顶盖</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个</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4</w:t>
            </w:r>
          </w:p>
        </w:tc>
      </w:tr>
      <w:tr>
        <w:tblPrEx>
          <w:tblCellMar>
            <w:top w:w="0" w:type="dxa"/>
            <w:left w:w="108" w:type="dxa"/>
            <w:bottom w:w="0" w:type="dxa"/>
            <w:right w:w="108" w:type="dxa"/>
          </w:tblCellMar>
        </w:tblPrEx>
        <w:trPr>
          <w:trHeight w:val="499" w:hRule="atLeast"/>
          <w:jc w:val="center"/>
        </w:trPr>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rPr>
              <w:t>5</w:t>
            </w:r>
          </w:p>
        </w:tc>
        <w:tc>
          <w:tcPr>
            <w:tcW w:w="3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带溢流渠重力顶盖PP制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个</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2</w:t>
            </w:r>
          </w:p>
        </w:tc>
      </w:tr>
      <w:tr>
        <w:tblPrEx>
          <w:tblCellMar>
            <w:top w:w="0" w:type="dxa"/>
            <w:left w:w="108" w:type="dxa"/>
            <w:bottom w:w="0" w:type="dxa"/>
            <w:right w:w="108" w:type="dxa"/>
          </w:tblCellMar>
        </w:tblPrEx>
        <w:trPr>
          <w:trHeight w:val="499" w:hRule="atLeast"/>
          <w:jc w:val="center"/>
        </w:trPr>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rPr>
              <w:t>6</w:t>
            </w:r>
          </w:p>
        </w:tc>
        <w:tc>
          <w:tcPr>
            <w:tcW w:w="3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不锈钢锯齿形转刀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个</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2</w:t>
            </w:r>
          </w:p>
        </w:tc>
      </w:tr>
      <w:tr>
        <w:tblPrEx>
          <w:tblCellMar>
            <w:top w:w="0" w:type="dxa"/>
            <w:left w:w="108" w:type="dxa"/>
            <w:bottom w:w="0" w:type="dxa"/>
            <w:right w:w="108" w:type="dxa"/>
          </w:tblCellMar>
        </w:tblPrEx>
        <w:trPr>
          <w:trHeight w:val="459" w:hRule="atLeast"/>
          <w:jc w:val="center"/>
        </w:trPr>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rPr>
              <w:t>7</w:t>
            </w:r>
          </w:p>
        </w:tc>
        <w:tc>
          <w:tcPr>
            <w:tcW w:w="3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 xml:space="preserve">钛制转刀                   </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个</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2</w:t>
            </w:r>
          </w:p>
        </w:tc>
      </w:tr>
      <w:tr>
        <w:tblPrEx>
          <w:tblCellMar>
            <w:top w:w="0" w:type="dxa"/>
            <w:left w:w="108" w:type="dxa"/>
            <w:bottom w:w="0" w:type="dxa"/>
            <w:right w:w="108" w:type="dxa"/>
          </w:tblCellMar>
        </w:tblPrEx>
        <w:trPr>
          <w:trHeight w:val="499" w:hRule="atLeast"/>
          <w:jc w:val="center"/>
        </w:trPr>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rPr>
              <w:t>8</w:t>
            </w:r>
          </w:p>
        </w:tc>
        <w:tc>
          <w:tcPr>
            <w:tcW w:w="3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全金属4叶转刀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个</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2</w:t>
            </w:r>
          </w:p>
        </w:tc>
      </w:tr>
      <w:tr>
        <w:tblPrEx>
          <w:tblCellMar>
            <w:top w:w="0" w:type="dxa"/>
            <w:left w:w="108" w:type="dxa"/>
            <w:bottom w:w="0" w:type="dxa"/>
            <w:right w:w="108" w:type="dxa"/>
          </w:tblCellMar>
        </w:tblPrEx>
        <w:trPr>
          <w:trHeight w:val="499" w:hRule="atLeast"/>
          <w:jc w:val="center"/>
        </w:trPr>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9</w:t>
            </w:r>
          </w:p>
        </w:tc>
        <w:tc>
          <w:tcPr>
            <w:tcW w:w="3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样品刮刀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把</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6</w:t>
            </w:r>
          </w:p>
        </w:tc>
      </w:tr>
    </w:tbl>
    <w:p>
      <w:pPr>
        <w:autoSpaceDE w:val="0"/>
        <w:autoSpaceDN w:val="0"/>
        <w:adjustRightInd w:val="0"/>
        <w:spacing w:line="360" w:lineRule="auto"/>
        <w:rPr>
          <w:rFonts w:ascii="宋体" w:hAnsi="宋体"/>
          <w:b/>
          <w:color w:val="C00000"/>
          <w:sz w:val="21"/>
          <w:szCs w:val="21"/>
          <w:highlight w:val="none"/>
        </w:rPr>
      </w:pPr>
      <w:r>
        <w:rPr>
          <w:rFonts w:hint="eastAsia"/>
          <w:b/>
          <w:bCs/>
          <w:sz w:val="21"/>
          <w:szCs w:val="21"/>
          <w:highlight w:val="none"/>
        </w:rPr>
        <w:t>技术指标</w:t>
      </w:r>
    </w:p>
    <w:p>
      <w:pPr>
        <w:pStyle w:val="9"/>
        <w:spacing w:before="0" w:beforeAutospacing="0" w:after="0" w:afterAutospacing="0" w:line="360" w:lineRule="auto"/>
        <w:jc w:val="both"/>
        <w:rPr>
          <w:rFonts w:eastAsia="宋体"/>
          <w:color w:val="C00000"/>
          <w:sz w:val="21"/>
          <w:szCs w:val="21"/>
          <w:highlight w:val="none"/>
        </w:rPr>
      </w:pPr>
      <w:r>
        <w:rPr>
          <w:rFonts w:hint="eastAsia" w:ascii="宋体" w:hAnsi="宋体" w:cs="仿宋"/>
          <w:b/>
          <w:bCs/>
          <w:color w:val="000000"/>
          <w:sz w:val="21"/>
          <w:szCs w:val="21"/>
          <w:highlight w:val="none"/>
        </w:rPr>
        <w:t>*</w:t>
      </w:r>
      <w:r>
        <w:rPr>
          <w:rFonts w:ascii="宋体" w:hAnsi="宋体"/>
          <w:b/>
          <w:bCs/>
          <w:sz w:val="21"/>
          <w:szCs w:val="21"/>
          <w:highlight w:val="none"/>
        </w:rPr>
        <w:t>1</w:t>
      </w:r>
      <w:r>
        <w:rPr>
          <w:rFonts w:hint="eastAsia" w:ascii="宋体" w:hAnsi="宋体"/>
          <w:b/>
          <w:bCs/>
          <w:sz w:val="21"/>
          <w:szCs w:val="21"/>
          <w:highlight w:val="none"/>
        </w:rPr>
        <w:t>、适用于各类样品的均质化处理</w:t>
      </w:r>
      <w:r>
        <w:rPr>
          <w:rFonts w:hint="eastAsia" w:ascii="宋体" w:hAnsi="宋体"/>
          <w:sz w:val="21"/>
          <w:szCs w:val="21"/>
          <w:highlight w:val="none"/>
        </w:rPr>
        <w:t>，包括</w:t>
      </w:r>
      <w:r>
        <w:rPr>
          <w:rFonts w:ascii="宋体" w:hAnsi="宋体"/>
          <w:sz w:val="21"/>
          <w:szCs w:val="21"/>
          <w:highlight w:val="none"/>
        </w:rPr>
        <w:t>：</w:t>
      </w:r>
      <w:r>
        <w:rPr>
          <w:rFonts w:hint="eastAsia" w:ascii="宋体" w:hAnsi="宋体"/>
          <w:sz w:val="21"/>
          <w:szCs w:val="21"/>
          <w:highlight w:val="none"/>
        </w:rPr>
        <w:t>干性样品、弹性样品、纤维性样品、软性及硬性样品、含水高的样品及油脂性样品，并能冷冻研磨，</w:t>
      </w:r>
      <w:r>
        <w:rPr>
          <w:rFonts w:ascii="宋体" w:hAnsi="宋体"/>
          <w:sz w:val="21"/>
          <w:szCs w:val="21"/>
          <w:highlight w:val="none"/>
        </w:rPr>
        <w:t>底座</w:t>
      </w:r>
      <w:r>
        <w:rPr>
          <w:rFonts w:hint="eastAsia" w:ascii="宋体" w:hAnsi="宋体"/>
          <w:sz w:val="21"/>
          <w:szCs w:val="21"/>
          <w:highlight w:val="none"/>
        </w:rPr>
        <w:t>配备</w:t>
      </w:r>
      <w:r>
        <w:rPr>
          <w:rFonts w:ascii="宋体" w:hAnsi="宋体"/>
          <w:sz w:val="21"/>
          <w:szCs w:val="21"/>
          <w:highlight w:val="none"/>
        </w:rPr>
        <w:t>防水保护层</w:t>
      </w:r>
      <w:r>
        <w:rPr>
          <w:rFonts w:eastAsia="宋体"/>
          <w:color w:val="C00000"/>
          <w:sz w:val="21"/>
          <w:szCs w:val="21"/>
          <w:highlight w:val="none"/>
        </w:rPr>
        <w:t>（需提供产品彩页或官方网站链接及截图等作为证明资料）</w:t>
      </w:r>
      <w:r>
        <w:rPr>
          <w:rFonts w:hint="eastAsia" w:eastAsia="宋体"/>
          <w:color w:val="C00000"/>
          <w:sz w:val="21"/>
          <w:szCs w:val="21"/>
          <w:highlight w:val="none"/>
        </w:rPr>
        <w:t>。</w:t>
      </w:r>
    </w:p>
    <w:p>
      <w:pPr>
        <w:spacing w:line="360" w:lineRule="auto"/>
        <w:rPr>
          <w:rFonts w:ascii="宋体" w:hAnsi="宋体"/>
          <w:color w:val="C00000"/>
          <w:sz w:val="21"/>
          <w:szCs w:val="21"/>
          <w:highlight w:val="none"/>
        </w:rPr>
      </w:pPr>
    </w:p>
    <w:p>
      <w:pPr>
        <w:spacing w:line="360" w:lineRule="auto"/>
        <w:rPr>
          <w:rFonts w:ascii="宋体" w:hAnsi="宋体"/>
          <w:sz w:val="21"/>
          <w:szCs w:val="21"/>
          <w:highlight w:val="none"/>
        </w:rPr>
      </w:pPr>
      <w:r>
        <w:rPr>
          <w:rFonts w:ascii="宋体" w:hAnsi="宋体"/>
          <w:b/>
          <w:bCs/>
          <w:sz w:val="21"/>
          <w:szCs w:val="21"/>
          <w:highlight w:val="none"/>
        </w:rPr>
        <w:t>2</w:t>
      </w:r>
      <w:r>
        <w:rPr>
          <w:rFonts w:hint="eastAsia" w:ascii="宋体" w:hAnsi="宋体"/>
          <w:b/>
          <w:bCs/>
          <w:sz w:val="21"/>
          <w:szCs w:val="21"/>
          <w:highlight w:val="none"/>
        </w:rPr>
        <w:t>、</w:t>
      </w:r>
      <w:r>
        <w:rPr>
          <w:rFonts w:ascii="宋体" w:hAnsi="宋体"/>
          <w:b/>
          <w:bCs/>
          <w:sz w:val="21"/>
          <w:szCs w:val="21"/>
          <w:highlight w:val="none"/>
        </w:rPr>
        <w:t>进样尺寸</w:t>
      </w:r>
      <w:r>
        <w:rPr>
          <w:rFonts w:ascii="宋体" w:hAnsi="宋体"/>
          <w:sz w:val="21"/>
          <w:szCs w:val="21"/>
          <w:highlight w:val="none"/>
        </w:rPr>
        <w:t>：10-50mm</w:t>
      </w:r>
      <w:r>
        <w:rPr>
          <w:rFonts w:hint="eastAsia" w:ascii="宋体" w:hAnsi="宋体"/>
          <w:sz w:val="21"/>
          <w:szCs w:val="21"/>
          <w:highlight w:val="none"/>
        </w:rPr>
        <w:t>；</w:t>
      </w:r>
      <w:r>
        <w:rPr>
          <w:rFonts w:ascii="宋体" w:hAnsi="宋体"/>
          <w:sz w:val="21"/>
          <w:szCs w:val="21"/>
          <w:highlight w:val="none"/>
        </w:rPr>
        <w:t>最终出样尺寸</w:t>
      </w:r>
      <w:r>
        <w:rPr>
          <w:rFonts w:hint="eastAsia" w:ascii="宋体" w:hAnsi="宋体"/>
          <w:sz w:val="21"/>
          <w:szCs w:val="21"/>
          <w:highlight w:val="none"/>
        </w:rPr>
        <w:t>≤</w:t>
      </w:r>
      <w:r>
        <w:rPr>
          <w:rFonts w:ascii="宋体" w:hAnsi="宋体"/>
          <w:sz w:val="21"/>
          <w:szCs w:val="21"/>
          <w:highlight w:val="none"/>
        </w:rPr>
        <w:t>300um</w:t>
      </w:r>
      <w:r>
        <w:rPr>
          <w:rFonts w:hint="eastAsia" w:ascii="宋体" w:hAnsi="宋体"/>
          <w:sz w:val="21"/>
          <w:szCs w:val="21"/>
          <w:highlight w:val="none"/>
        </w:rPr>
        <w:t>。</w:t>
      </w:r>
    </w:p>
    <w:p>
      <w:pPr>
        <w:spacing w:line="360" w:lineRule="auto"/>
        <w:rPr>
          <w:rFonts w:ascii="宋体" w:hAnsi="宋体"/>
          <w:sz w:val="21"/>
          <w:szCs w:val="21"/>
          <w:highlight w:val="none"/>
        </w:rPr>
      </w:pPr>
      <w:r>
        <w:rPr>
          <w:rFonts w:hint="eastAsia" w:ascii="宋体" w:hAnsi="宋体"/>
          <w:b/>
          <w:bCs/>
          <w:sz w:val="21"/>
          <w:szCs w:val="21"/>
          <w:highlight w:val="none"/>
        </w:rPr>
        <w:t>3、</w:t>
      </w:r>
      <w:r>
        <w:rPr>
          <w:rFonts w:ascii="宋体" w:hAnsi="宋体"/>
          <w:b/>
          <w:bCs/>
          <w:sz w:val="21"/>
          <w:szCs w:val="21"/>
          <w:highlight w:val="none"/>
        </w:rPr>
        <w:t>样品处理量</w:t>
      </w:r>
      <w:r>
        <w:rPr>
          <w:rFonts w:ascii="宋体" w:hAnsi="宋体"/>
          <w:sz w:val="21"/>
          <w:szCs w:val="21"/>
          <w:highlight w:val="none"/>
        </w:rPr>
        <w:t>：</w:t>
      </w:r>
      <w:r>
        <w:rPr>
          <w:rFonts w:hint="eastAsia" w:ascii="宋体" w:hAnsi="宋体"/>
          <w:sz w:val="21"/>
          <w:szCs w:val="21"/>
          <w:highlight w:val="none"/>
        </w:rPr>
        <w:t>≥</w:t>
      </w:r>
      <w:r>
        <w:rPr>
          <w:rFonts w:ascii="宋体" w:hAnsi="宋体"/>
          <w:sz w:val="21"/>
          <w:szCs w:val="21"/>
          <w:highlight w:val="none"/>
        </w:rPr>
        <w:t>650ml，</w:t>
      </w:r>
      <w:r>
        <w:rPr>
          <w:rFonts w:hint="eastAsia" w:ascii="宋体" w:hAnsi="宋体"/>
          <w:sz w:val="21"/>
          <w:szCs w:val="21"/>
          <w:highlight w:val="none"/>
        </w:rPr>
        <w:t>并标配</w:t>
      </w:r>
      <w:r>
        <w:rPr>
          <w:rFonts w:ascii="宋体" w:hAnsi="宋体"/>
          <w:sz w:val="21"/>
          <w:szCs w:val="21"/>
          <w:highlight w:val="none"/>
        </w:rPr>
        <w:t>普通重力顶盖</w:t>
      </w:r>
      <w:r>
        <w:rPr>
          <w:rFonts w:hint="eastAsia" w:ascii="宋体" w:hAnsi="宋体"/>
          <w:sz w:val="21"/>
          <w:szCs w:val="21"/>
          <w:highlight w:val="none"/>
        </w:rPr>
        <w:t>和</w:t>
      </w:r>
      <w:r>
        <w:rPr>
          <w:rFonts w:ascii="宋体" w:hAnsi="宋体"/>
          <w:sz w:val="21"/>
          <w:szCs w:val="21"/>
          <w:highlight w:val="none"/>
        </w:rPr>
        <w:t>带溢流渠的重力顶盖</w:t>
      </w:r>
      <w:r>
        <w:rPr>
          <w:rFonts w:hint="eastAsia" w:ascii="宋体" w:hAnsi="宋体"/>
          <w:sz w:val="21"/>
          <w:szCs w:val="21"/>
          <w:highlight w:val="none"/>
        </w:rPr>
        <w:t>，在研磨过程中可上下移动，保证研磨空间一直能与样品量匹配</w:t>
      </w:r>
      <w:r>
        <w:rPr>
          <w:rFonts w:ascii="宋体" w:hAnsi="宋体"/>
          <w:sz w:val="21"/>
          <w:szCs w:val="21"/>
          <w:highlight w:val="none"/>
        </w:rPr>
        <w:t>。</w:t>
      </w:r>
    </w:p>
    <w:p>
      <w:pPr>
        <w:pStyle w:val="9"/>
        <w:spacing w:before="0" w:beforeAutospacing="0" w:after="0" w:afterAutospacing="0" w:line="360" w:lineRule="auto"/>
        <w:jc w:val="both"/>
        <w:rPr>
          <w:rFonts w:eastAsia="宋体"/>
          <w:color w:val="C00000"/>
          <w:sz w:val="21"/>
          <w:szCs w:val="21"/>
          <w:highlight w:val="none"/>
        </w:rPr>
      </w:pPr>
      <w:r>
        <w:rPr>
          <w:rFonts w:hint="eastAsia" w:ascii="宋体" w:hAnsi="宋体" w:cs="宋体"/>
          <w:sz w:val="21"/>
          <w:szCs w:val="21"/>
          <w:highlight w:val="none"/>
        </w:rPr>
        <w:t>▲</w:t>
      </w:r>
      <w:r>
        <w:rPr>
          <w:rFonts w:hint="eastAsia" w:ascii="宋体" w:hAnsi="宋体"/>
          <w:b/>
          <w:bCs/>
          <w:sz w:val="21"/>
          <w:szCs w:val="21"/>
          <w:highlight w:val="none"/>
        </w:rPr>
        <w:t>4、</w:t>
      </w:r>
      <w:r>
        <w:rPr>
          <w:rFonts w:ascii="宋体" w:hAnsi="宋体"/>
          <w:b/>
          <w:bCs/>
          <w:sz w:val="21"/>
          <w:szCs w:val="21"/>
          <w:highlight w:val="none"/>
        </w:rPr>
        <w:t>转刀</w:t>
      </w:r>
      <w:r>
        <w:rPr>
          <w:rFonts w:hint="eastAsia" w:ascii="宋体" w:hAnsi="宋体"/>
          <w:sz w:val="21"/>
          <w:szCs w:val="21"/>
          <w:highlight w:val="none"/>
        </w:rPr>
        <w:t>：两</w:t>
      </w:r>
      <w:r>
        <w:rPr>
          <w:rFonts w:ascii="宋体" w:hAnsi="宋体"/>
          <w:sz w:val="21"/>
          <w:szCs w:val="21"/>
          <w:highlight w:val="none"/>
        </w:rPr>
        <w:t>叶片刀头</w:t>
      </w:r>
      <w:r>
        <w:rPr>
          <w:rFonts w:hint="eastAsia" w:ascii="宋体" w:hAnsi="宋体"/>
          <w:sz w:val="21"/>
          <w:szCs w:val="21"/>
          <w:highlight w:val="none"/>
        </w:rPr>
        <w:t>，刀片不在同一水平面，保持一定的间距高度，</w:t>
      </w:r>
      <w:r>
        <w:rPr>
          <w:rFonts w:ascii="宋体" w:hAnsi="宋体"/>
          <w:sz w:val="21"/>
          <w:szCs w:val="21"/>
          <w:highlight w:val="none"/>
        </w:rPr>
        <w:t>刀头可以正反转</w:t>
      </w:r>
      <w:r>
        <w:rPr>
          <w:rFonts w:hint="eastAsia" w:ascii="宋体" w:hAnsi="宋体"/>
          <w:sz w:val="21"/>
          <w:szCs w:val="21"/>
          <w:highlight w:val="none"/>
        </w:rPr>
        <w:t>，转速</w:t>
      </w:r>
      <w:r>
        <w:rPr>
          <w:rFonts w:ascii="宋体" w:hAnsi="宋体"/>
          <w:sz w:val="21"/>
          <w:szCs w:val="21"/>
          <w:highlight w:val="none"/>
        </w:rPr>
        <w:t>1000rpm-15000rpm</w:t>
      </w:r>
      <w:r>
        <w:rPr>
          <w:rFonts w:hint="eastAsia" w:ascii="宋体" w:hAnsi="宋体"/>
          <w:sz w:val="21"/>
          <w:szCs w:val="21"/>
          <w:highlight w:val="none"/>
        </w:rPr>
        <w:t>范围内可调；</w:t>
      </w:r>
      <w:r>
        <w:rPr>
          <w:rFonts w:ascii="宋体" w:hAnsi="宋体"/>
          <w:sz w:val="21"/>
          <w:szCs w:val="21"/>
          <w:highlight w:val="none"/>
        </w:rPr>
        <w:t>转刀直径</w:t>
      </w:r>
      <w:r>
        <w:rPr>
          <w:rFonts w:hint="eastAsia" w:ascii="宋体" w:hAnsi="宋体"/>
          <w:sz w:val="21"/>
          <w:szCs w:val="21"/>
          <w:highlight w:val="none"/>
        </w:rPr>
        <w:t>及</w:t>
      </w:r>
      <w:r>
        <w:rPr>
          <w:rFonts w:ascii="宋体" w:hAnsi="宋体"/>
          <w:sz w:val="21"/>
          <w:szCs w:val="21"/>
          <w:highlight w:val="none"/>
        </w:rPr>
        <w:t>刀头外围转速：</w:t>
      </w:r>
      <w:r>
        <w:rPr>
          <w:rFonts w:hint="eastAsia" w:ascii="宋体" w:hAnsi="宋体"/>
          <w:sz w:val="21"/>
          <w:szCs w:val="21"/>
          <w:highlight w:val="none"/>
        </w:rPr>
        <w:t>直径≥</w:t>
      </w:r>
      <w:r>
        <w:rPr>
          <w:rFonts w:ascii="宋体" w:hAnsi="宋体"/>
          <w:sz w:val="21"/>
          <w:szCs w:val="21"/>
          <w:highlight w:val="none"/>
        </w:rPr>
        <w:t>118mm</w:t>
      </w:r>
      <w:r>
        <w:rPr>
          <w:rFonts w:hint="eastAsia" w:ascii="宋体" w:hAnsi="宋体"/>
          <w:sz w:val="21"/>
          <w:szCs w:val="21"/>
          <w:highlight w:val="none"/>
        </w:rPr>
        <w:t>，转速</w:t>
      </w:r>
      <w:r>
        <w:rPr>
          <w:rFonts w:ascii="宋体" w:hAnsi="宋体"/>
          <w:sz w:val="21"/>
          <w:szCs w:val="21"/>
          <w:highlight w:val="none"/>
        </w:rPr>
        <w:t>12.4-62m/s</w:t>
      </w:r>
      <w:r>
        <w:rPr>
          <w:rFonts w:hint="eastAsia" w:ascii="宋体" w:hAnsi="宋体"/>
          <w:sz w:val="21"/>
          <w:szCs w:val="21"/>
          <w:highlight w:val="none"/>
        </w:rPr>
        <w:t>范围内可调；</w:t>
      </w:r>
      <w:r>
        <w:rPr>
          <w:rFonts w:ascii="宋体" w:hAnsi="宋体"/>
          <w:sz w:val="21"/>
          <w:szCs w:val="21"/>
          <w:highlight w:val="none"/>
        </w:rPr>
        <w:t>转刀材质</w:t>
      </w:r>
      <w:r>
        <w:rPr>
          <w:rFonts w:hint="eastAsia" w:ascii="宋体" w:hAnsi="宋体"/>
          <w:sz w:val="21"/>
          <w:szCs w:val="21"/>
          <w:highlight w:val="none"/>
        </w:rPr>
        <w:t>分</w:t>
      </w:r>
      <w:r>
        <w:rPr>
          <w:rFonts w:ascii="宋体" w:hAnsi="宋体"/>
          <w:sz w:val="21"/>
          <w:szCs w:val="21"/>
          <w:highlight w:val="none"/>
        </w:rPr>
        <w:t>不锈钢制</w:t>
      </w:r>
      <w:r>
        <w:rPr>
          <w:rFonts w:hint="eastAsia" w:ascii="宋体" w:hAnsi="宋体"/>
          <w:sz w:val="21"/>
          <w:szCs w:val="21"/>
          <w:highlight w:val="none"/>
        </w:rPr>
        <w:t>和</w:t>
      </w:r>
      <w:r>
        <w:rPr>
          <w:rFonts w:ascii="宋体" w:hAnsi="宋体"/>
          <w:sz w:val="21"/>
          <w:szCs w:val="21"/>
          <w:highlight w:val="none"/>
        </w:rPr>
        <w:t>钛制</w:t>
      </w:r>
      <w:r>
        <w:rPr>
          <w:rFonts w:hint="eastAsia" w:ascii="宋体" w:hAnsi="宋体"/>
          <w:sz w:val="21"/>
          <w:szCs w:val="21"/>
          <w:highlight w:val="none"/>
        </w:rPr>
        <w:t>，需提供</w:t>
      </w:r>
      <w:r>
        <w:rPr>
          <w:rFonts w:hint="eastAsia" w:ascii="宋体" w:hAnsi="宋体"/>
          <w:color w:val="C00000"/>
          <w:sz w:val="21"/>
          <w:szCs w:val="21"/>
          <w:highlight w:val="none"/>
        </w:rPr>
        <w:t>第三方检测机构</w:t>
      </w:r>
      <w:r>
        <w:rPr>
          <w:rFonts w:hint="eastAsia" w:ascii="宋体" w:hAnsi="宋体"/>
          <w:sz w:val="21"/>
          <w:szCs w:val="21"/>
          <w:highlight w:val="none"/>
        </w:rPr>
        <w:t>出具的钛制转刀成份报告，其中钛成分含量不低于9</w:t>
      </w:r>
      <w:r>
        <w:rPr>
          <w:rFonts w:ascii="宋体" w:hAnsi="宋体"/>
          <w:sz w:val="21"/>
          <w:szCs w:val="21"/>
          <w:highlight w:val="none"/>
        </w:rPr>
        <w:t>9%</w:t>
      </w:r>
      <w:r>
        <w:rPr>
          <w:rFonts w:eastAsia="宋体"/>
          <w:color w:val="C00000"/>
          <w:sz w:val="21"/>
          <w:szCs w:val="21"/>
          <w:highlight w:val="none"/>
        </w:rPr>
        <w:t>（需提供产品彩页或官方网站链接及截图等作为证明资料）</w:t>
      </w:r>
      <w:r>
        <w:rPr>
          <w:rFonts w:hint="eastAsia" w:eastAsia="宋体"/>
          <w:color w:val="C00000"/>
          <w:sz w:val="21"/>
          <w:szCs w:val="21"/>
          <w:highlight w:val="none"/>
        </w:rPr>
        <w:t>。</w:t>
      </w:r>
    </w:p>
    <w:p>
      <w:pPr>
        <w:pStyle w:val="9"/>
        <w:spacing w:before="0" w:beforeAutospacing="0" w:after="0" w:afterAutospacing="0" w:line="360" w:lineRule="auto"/>
        <w:jc w:val="both"/>
        <w:rPr>
          <w:rFonts w:eastAsia="宋体"/>
          <w:color w:val="C00000"/>
          <w:sz w:val="21"/>
          <w:szCs w:val="21"/>
          <w:highlight w:val="none"/>
        </w:rPr>
      </w:pPr>
      <w:r>
        <w:rPr>
          <w:rFonts w:hint="eastAsia" w:ascii="宋体" w:hAnsi="宋体" w:cs="仿宋"/>
          <w:b/>
          <w:bCs/>
          <w:color w:val="000000"/>
          <w:sz w:val="21"/>
          <w:szCs w:val="21"/>
          <w:highlight w:val="none"/>
        </w:rPr>
        <w:t>*</w:t>
      </w:r>
      <w:r>
        <w:rPr>
          <w:rFonts w:hint="eastAsia" w:ascii="宋体" w:hAnsi="宋体"/>
          <w:b/>
          <w:bCs/>
          <w:sz w:val="21"/>
          <w:szCs w:val="21"/>
          <w:highlight w:val="none"/>
        </w:rPr>
        <w:t>5、全金属转刀：</w:t>
      </w:r>
      <w:r>
        <w:rPr>
          <w:rFonts w:hint="eastAsia" w:ascii="宋体" w:hAnsi="宋体"/>
          <w:sz w:val="21"/>
          <w:szCs w:val="21"/>
          <w:highlight w:val="none"/>
        </w:rPr>
        <w:t>4叶片刀头，全金属底座，可进行冷冻研磨</w:t>
      </w:r>
      <w:r>
        <w:rPr>
          <w:rFonts w:eastAsia="宋体"/>
          <w:color w:val="C00000"/>
          <w:sz w:val="21"/>
          <w:szCs w:val="21"/>
          <w:highlight w:val="none"/>
        </w:rPr>
        <w:t>（需提供产品彩页或官方网站链接及截图等作为证明资料）</w:t>
      </w:r>
      <w:r>
        <w:rPr>
          <w:rFonts w:hint="eastAsia" w:eastAsia="宋体"/>
          <w:color w:val="C00000"/>
          <w:sz w:val="21"/>
          <w:szCs w:val="21"/>
          <w:highlight w:val="none"/>
        </w:rPr>
        <w:t>。</w:t>
      </w:r>
    </w:p>
    <w:p>
      <w:pPr>
        <w:spacing w:line="360" w:lineRule="auto"/>
        <w:rPr>
          <w:rFonts w:ascii="宋体" w:hAnsi="宋体"/>
          <w:sz w:val="21"/>
          <w:szCs w:val="21"/>
          <w:highlight w:val="none"/>
        </w:rPr>
      </w:pPr>
      <w:r>
        <w:rPr>
          <w:rFonts w:hint="eastAsia" w:ascii="宋体" w:hAnsi="宋体"/>
          <w:b/>
          <w:bCs/>
          <w:sz w:val="21"/>
          <w:szCs w:val="21"/>
          <w:highlight w:val="none"/>
        </w:rPr>
        <w:t>6、运行模式：</w:t>
      </w:r>
      <w:r>
        <w:rPr>
          <w:rFonts w:ascii="宋体" w:hAnsi="宋体"/>
          <w:sz w:val="21"/>
          <w:szCs w:val="21"/>
          <w:highlight w:val="none"/>
        </w:rPr>
        <w:t>可设置</w:t>
      </w:r>
      <w:r>
        <w:rPr>
          <w:rFonts w:hint="eastAsia" w:ascii="宋体" w:hAnsi="宋体"/>
          <w:sz w:val="21"/>
          <w:szCs w:val="21"/>
          <w:highlight w:val="none"/>
        </w:rPr>
        <w:t>正转、</w:t>
      </w:r>
      <w:r>
        <w:rPr>
          <w:rFonts w:ascii="宋体" w:hAnsi="宋体"/>
          <w:sz w:val="21"/>
          <w:szCs w:val="21"/>
          <w:highlight w:val="none"/>
        </w:rPr>
        <w:t>反转</w:t>
      </w:r>
      <w:r>
        <w:rPr>
          <w:rFonts w:hint="eastAsia" w:ascii="宋体" w:hAnsi="宋体"/>
          <w:sz w:val="21"/>
          <w:szCs w:val="21"/>
          <w:highlight w:val="none"/>
        </w:rPr>
        <w:t>、</w:t>
      </w:r>
      <w:r>
        <w:rPr>
          <w:rFonts w:ascii="宋体" w:hAnsi="宋体"/>
          <w:sz w:val="21"/>
          <w:szCs w:val="21"/>
          <w:highlight w:val="none"/>
        </w:rPr>
        <w:t>间歇点动模式</w:t>
      </w:r>
      <w:r>
        <w:rPr>
          <w:rFonts w:hint="eastAsia" w:ascii="宋体" w:hAnsi="宋体"/>
          <w:sz w:val="21"/>
          <w:szCs w:val="21"/>
          <w:highlight w:val="none"/>
        </w:rPr>
        <w:t>，</w:t>
      </w:r>
      <w:r>
        <w:rPr>
          <w:rFonts w:ascii="宋体" w:hAnsi="宋体"/>
          <w:sz w:val="21"/>
          <w:szCs w:val="21"/>
          <w:highlight w:val="none"/>
        </w:rPr>
        <w:t>液晶触摸按键</w:t>
      </w:r>
      <w:r>
        <w:rPr>
          <w:rFonts w:hint="eastAsia" w:ascii="宋体" w:hAnsi="宋体"/>
          <w:sz w:val="21"/>
          <w:szCs w:val="21"/>
          <w:highlight w:val="none"/>
        </w:rPr>
        <w:t>；研磨时间</w:t>
      </w:r>
      <w:r>
        <w:rPr>
          <w:rFonts w:ascii="宋体" w:hAnsi="宋体"/>
          <w:sz w:val="21"/>
          <w:szCs w:val="21"/>
          <w:highlight w:val="none"/>
        </w:rPr>
        <w:t>1s-59min连续可调</w:t>
      </w:r>
      <w:r>
        <w:rPr>
          <w:rFonts w:hint="eastAsia" w:ascii="宋体" w:hAnsi="宋体"/>
          <w:sz w:val="21"/>
          <w:szCs w:val="21"/>
          <w:highlight w:val="none"/>
        </w:rPr>
        <w:t>。</w:t>
      </w:r>
    </w:p>
    <w:p>
      <w:pPr>
        <w:spacing w:line="360" w:lineRule="auto"/>
        <w:rPr>
          <w:rFonts w:ascii="宋体" w:hAnsi="宋体"/>
          <w:sz w:val="21"/>
          <w:szCs w:val="21"/>
          <w:highlight w:val="none"/>
        </w:rPr>
      </w:pPr>
      <w:r>
        <w:rPr>
          <w:rFonts w:hint="eastAsia" w:ascii="宋体" w:hAnsi="宋体"/>
          <w:b/>
          <w:bCs/>
          <w:sz w:val="21"/>
          <w:szCs w:val="21"/>
          <w:highlight w:val="none"/>
        </w:rPr>
        <w:t>7、</w:t>
      </w:r>
      <w:r>
        <w:rPr>
          <w:rFonts w:ascii="宋体" w:hAnsi="宋体"/>
          <w:b/>
          <w:bCs/>
          <w:sz w:val="21"/>
          <w:szCs w:val="21"/>
          <w:highlight w:val="none"/>
        </w:rPr>
        <w:t>研磨杯</w:t>
      </w:r>
      <w:r>
        <w:rPr>
          <w:rFonts w:hint="eastAsia" w:ascii="宋体" w:hAnsi="宋体"/>
          <w:b/>
          <w:bCs/>
          <w:sz w:val="21"/>
          <w:szCs w:val="21"/>
          <w:highlight w:val="none"/>
        </w:rPr>
        <w:t>容积及</w:t>
      </w:r>
      <w:r>
        <w:rPr>
          <w:rFonts w:ascii="宋体" w:hAnsi="宋体"/>
          <w:b/>
          <w:bCs/>
          <w:sz w:val="21"/>
          <w:szCs w:val="21"/>
          <w:highlight w:val="none"/>
        </w:rPr>
        <w:t>材质：</w:t>
      </w:r>
      <w:r>
        <w:rPr>
          <w:rFonts w:hint="eastAsia" w:ascii="宋体" w:hAnsi="宋体"/>
          <w:sz w:val="21"/>
          <w:szCs w:val="21"/>
          <w:highlight w:val="none"/>
        </w:rPr>
        <w:t>≥1L，</w:t>
      </w:r>
      <w:r>
        <w:rPr>
          <w:rFonts w:hint="eastAsia" w:ascii="宋体" w:hAnsi="宋体"/>
          <w:color w:val="C00000"/>
          <w:sz w:val="21"/>
          <w:szCs w:val="21"/>
          <w:highlight w:val="none"/>
        </w:rPr>
        <w:t>材质分为</w:t>
      </w:r>
      <w:r>
        <w:rPr>
          <w:rFonts w:ascii="宋体" w:hAnsi="宋体"/>
          <w:color w:val="C00000"/>
          <w:sz w:val="21"/>
          <w:szCs w:val="21"/>
          <w:highlight w:val="none"/>
        </w:rPr>
        <w:t>不锈钢制</w:t>
      </w:r>
      <w:r>
        <w:rPr>
          <w:rFonts w:hint="eastAsia" w:ascii="宋体" w:hAnsi="宋体"/>
          <w:color w:val="C00000"/>
          <w:sz w:val="21"/>
          <w:szCs w:val="21"/>
          <w:highlight w:val="none"/>
        </w:rPr>
        <w:t>和</w:t>
      </w:r>
      <w:r>
        <w:rPr>
          <w:rFonts w:ascii="宋体" w:hAnsi="宋体"/>
          <w:color w:val="C00000"/>
          <w:sz w:val="21"/>
          <w:szCs w:val="21"/>
          <w:highlight w:val="none"/>
        </w:rPr>
        <w:t>耐高温高压灭菌的PC（聚碳酸酯）制</w:t>
      </w:r>
      <w:r>
        <w:rPr>
          <w:rFonts w:hint="eastAsia" w:ascii="宋体" w:hAnsi="宋体"/>
          <w:sz w:val="21"/>
          <w:szCs w:val="21"/>
          <w:highlight w:val="none"/>
        </w:rPr>
        <w:t>。</w:t>
      </w:r>
    </w:p>
    <w:p>
      <w:pPr>
        <w:spacing w:line="360" w:lineRule="auto"/>
        <w:rPr>
          <w:rFonts w:ascii="宋体" w:hAnsi="宋体"/>
          <w:sz w:val="21"/>
          <w:szCs w:val="21"/>
          <w:highlight w:val="none"/>
        </w:rPr>
      </w:pPr>
      <w:r>
        <w:rPr>
          <w:rFonts w:hint="eastAsia" w:ascii="宋体" w:hAnsi="宋体"/>
          <w:b/>
          <w:bCs/>
          <w:sz w:val="21"/>
          <w:szCs w:val="21"/>
          <w:highlight w:val="none"/>
        </w:rPr>
        <w:t>8、</w:t>
      </w:r>
      <w:r>
        <w:rPr>
          <w:rFonts w:ascii="宋体" w:hAnsi="宋体"/>
          <w:b/>
          <w:bCs/>
          <w:sz w:val="21"/>
          <w:szCs w:val="21"/>
          <w:highlight w:val="none"/>
        </w:rPr>
        <w:t>储存参数：</w:t>
      </w:r>
      <w:r>
        <w:rPr>
          <w:rFonts w:hint="eastAsia" w:ascii="宋体" w:hAnsi="宋体"/>
          <w:sz w:val="21"/>
          <w:szCs w:val="21"/>
          <w:highlight w:val="none"/>
        </w:rPr>
        <w:t>≥4组联动</w:t>
      </w:r>
      <w:r>
        <w:rPr>
          <w:rFonts w:ascii="宋体" w:hAnsi="宋体"/>
          <w:sz w:val="21"/>
          <w:szCs w:val="21"/>
          <w:highlight w:val="none"/>
        </w:rPr>
        <w:t>。</w:t>
      </w:r>
    </w:p>
    <w:p>
      <w:pPr>
        <w:spacing w:line="360" w:lineRule="auto"/>
        <w:rPr>
          <w:rFonts w:ascii="宋体" w:hAnsi="宋体"/>
          <w:sz w:val="21"/>
          <w:szCs w:val="21"/>
          <w:highlight w:val="none"/>
        </w:rPr>
      </w:pPr>
      <w:r>
        <w:rPr>
          <w:rFonts w:hint="eastAsia" w:ascii="宋体" w:hAnsi="宋体"/>
          <w:b/>
          <w:bCs/>
          <w:sz w:val="21"/>
          <w:szCs w:val="21"/>
          <w:highlight w:val="none"/>
        </w:rPr>
        <w:t>9、电机：</w:t>
      </w:r>
      <w:r>
        <w:rPr>
          <w:rFonts w:hint="eastAsia" w:ascii="宋体" w:hAnsi="宋体"/>
          <w:sz w:val="21"/>
          <w:szCs w:val="21"/>
          <w:highlight w:val="none"/>
        </w:rPr>
        <w:t>工业级电机，功率≥1100W，</w:t>
      </w:r>
      <w:r>
        <w:rPr>
          <w:rFonts w:ascii="宋体" w:hAnsi="宋体"/>
          <w:sz w:val="21"/>
          <w:szCs w:val="21"/>
          <w:highlight w:val="none"/>
        </w:rPr>
        <w:t>保障设备长期高效稳定运转。</w:t>
      </w:r>
    </w:p>
    <w:p>
      <w:pPr>
        <w:pStyle w:val="9"/>
        <w:spacing w:before="0" w:beforeAutospacing="0" w:after="0" w:afterAutospacing="0" w:line="360" w:lineRule="auto"/>
        <w:jc w:val="both"/>
        <w:rPr>
          <w:rFonts w:ascii="宋体" w:hAnsi="宋体" w:cs="宋体"/>
          <w:sz w:val="21"/>
          <w:szCs w:val="21"/>
          <w:highlight w:val="none"/>
          <w:lang w:val="en-US"/>
        </w:rPr>
      </w:pPr>
      <w:r>
        <w:rPr>
          <w:rFonts w:hint="eastAsia" w:ascii="宋体" w:hAnsi="宋体" w:cs="宋体"/>
          <w:sz w:val="21"/>
          <w:szCs w:val="21"/>
          <w:highlight w:val="none"/>
        </w:rPr>
        <w:t>▲</w:t>
      </w:r>
      <w:r>
        <w:rPr>
          <w:rFonts w:hint="eastAsia" w:ascii="宋体" w:hAnsi="宋体"/>
          <w:b/>
          <w:bCs/>
          <w:sz w:val="21"/>
          <w:szCs w:val="21"/>
          <w:highlight w:val="none"/>
        </w:rPr>
        <w:t>10、安全性能：</w:t>
      </w:r>
      <w:r>
        <w:rPr>
          <w:rFonts w:ascii="宋体" w:hAnsi="宋体"/>
          <w:sz w:val="21"/>
          <w:szCs w:val="21"/>
          <w:highlight w:val="none"/>
        </w:rPr>
        <w:t>研磨容器均采用插拔设计，且所有研磨套件均可高温高压灭菌处理，保证实验安全性</w:t>
      </w:r>
      <w:r>
        <w:rPr>
          <w:rFonts w:hint="eastAsia" w:ascii="宋体" w:hAnsi="宋体"/>
          <w:sz w:val="21"/>
          <w:szCs w:val="21"/>
          <w:highlight w:val="none"/>
        </w:rPr>
        <w:t>；</w:t>
      </w:r>
      <w:r>
        <w:rPr>
          <w:rFonts w:ascii="宋体" w:hAnsi="宋体"/>
          <w:sz w:val="21"/>
          <w:szCs w:val="21"/>
          <w:highlight w:val="none"/>
        </w:rPr>
        <w:t>仪器盖子</w:t>
      </w:r>
      <w:r>
        <w:rPr>
          <w:rFonts w:hint="eastAsia" w:ascii="宋体" w:hAnsi="宋体"/>
          <w:sz w:val="21"/>
          <w:szCs w:val="21"/>
          <w:highlight w:val="none"/>
        </w:rPr>
        <w:t>电</w:t>
      </w:r>
      <w:r>
        <w:rPr>
          <w:rFonts w:ascii="宋体" w:hAnsi="宋体"/>
          <w:sz w:val="21"/>
          <w:szCs w:val="21"/>
          <w:highlight w:val="none"/>
        </w:rPr>
        <w:t>动</w:t>
      </w:r>
      <w:r>
        <w:rPr>
          <w:rFonts w:hint="eastAsia" w:ascii="宋体" w:hAnsi="宋体"/>
          <w:sz w:val="21"/>
          <w:szCs w:val="21"/>
          <w:highlight w:val="none"/>
        </w:rPr>
        <w:t>开启和关闭</w:t>
      </w:r>
      <w:r>
        <w:rPr>
          <w:rFonts w:ascii="宋体" w:hAnsi="宋体"/>
          <w:sz w:val="21"/>
          <w:szCs w:val="21"/>
          <w:highlight w:val="none"/>
        </w:rPr>
        <w:t>，有内置安全锁，打开的状态下仪器不能运行，从而保证操作安全</w:t>
      </w:r>
      <w:r>
        <w:rPr>
          <w:rFonts w:hint="eastAsia" w:ascii="宋体" w:hAnsi="宋体"/>
          <w:sz w:val="21"/>
          <w:szCs w:val="21"/>
          <w:highlight w:val="none"/>
        </w:rPr>
        <w:t>；</w:t>
      </w:r>
      <w:r>
        <w:rPr>
          <w:rFonts w:ascii="宋体" w:hAnsi="宋体"/>
          <w:sz w:val="21"/>
          <w:szCs w:val="21"/>
          <w:highlight w:val="none"/>
        </w:rPr>
        <w:t>仪器制造厂家</w:t>
      </w:r>
      <w:r>
        <w:rPr>
          <w:rFonts w:hint="eastAsia" w:ascii="宋体" w:hAnsi="宋体"/>
          <w:color w:val="C00000"/>
          <w:sz w:val="21"/>
          <w:szCs w:val="21"/>
          <w:highlight w:val="none"/>
        </w:rPr>
        <w:t>通过</w:t>
      </w:r>
      <w:r>
        <w:rPr>
          <w:rFonts w:ascii="宋体" w:hAnsi="宋体"/>
          <w:sz w:val="21"/>
          <w:szCs w:val="21"/>
          <w:highlight w:val="none"/>
        </w:rPr>
        <w:t>ISO认证</w:t>
      </w:r>
      <w:r>
        <w:rPr>
          <w:rFonts w:hint="eastAsia" w:ascii="宋体" w:hAnsi="宋体"/>
          <w:sz w:val="21"/>
          <w:szCs w:val="21"/>
          <w:highlight w:val="none"/>
        </w:rPr>
        <w:t>，设备</w:t>
      </w:r>
      <w:r>
        <w:rPr>
          <w:rFonts w:ascii="宋体" w:hAnsi="宋体"/>
          <w:sz w:val="21"/>
          <w:szCs w:val="21"/>
          <w:highlight w:val="none"/>
        </w:rPr>
        <w:t>通过CE认证，确保日常操作的安全性</w:t>
      </w:r>
      <w:r>
        <w:rPr>
          <w:rFonts w:hint="eastAsia" w:ascii="宋体" w:hAnsi="宋体"/>
          <w:sz w:val="21"/>
          <w:szCs w:val="21"/>
          <w:highlight w:val="none"/>
        </w:rPr>
        <w:t>；设备有研磨平台控制系统软件的国家版权局计算机软件著作登记证书和刀式研磨仪软件的国家版权局计算机软件著作登记的双证书，保障设备的安全使用</w:t>
      </w:r>
      <w:r>
        <w:rPr>
          <w:rFonts w:eastAsia="宋体"/>
          <w:color w:val="C00000"/>
          <w:sz w:val="21"/>
          <w:szCs w:val="21"/>
          <w:highlight w:val="none"/>
        </w:rPr>
        <w:t>（需提供产品彩页或官方网站链接及截图等作为证明资料）</w:t>
      </w:r>
      <w:r>
        <w:rPr>
          <w:rFonts w:hint="eastAsia" w:eastAsia="宋体"/>
          <w:color w:val="C00000"/>
          <w:sz w:val="21"/>
          <w:szCs w:val="21"/>
          <w:highlight w:val="none"/>
        </w:rPr>
        <w:t>。</w:t>
      </w:r>
    </w:p>
    <w:p>
      <w:pPr>
        <w:pStyle w:val="16"/>
        <w:numPr>
          <w:ilvl w:val="0"/>
          <w:numId w:val="6"/>
        </w:numPr>
        <w:spacing w:line="360" w:lineRule="auto"/>
        <w:ind w:firstLine="0" w:firstLineChars="0"/>
        <w:rPr>
          <w:rFonts w:ascii="宋体" w:hAnsi="宋体" w:cs="宋体"/>
          <w:b/>
          <w:bCs/>
          <w:color w:val="000000"/>
          <w:sz w:val="21"/>
          <w:szCs w:val="21"/>
          <w:highlight w:val="none"/>
          <w:lang w:val="en-US"/>
        </w:rPr>
      </w:pPr>
      <w:r>
        <w:rPr>
          <w:rFonts w:hint="eastAsia" w:ascii="宋体" w:hAnsi="宋体" w:cs="宋体"/>
          <w:b/>
          <w:bCs/>
          <w:sz w:val="21"/>
          <w:szCs w:val="21"/>
          <w:highlight w:val="none"/>
          <w:lang w:val="en-US"/>
        </w:rPr>
        <w:t>电热鼓风干燥箱</w:t>
      </w:r>
    </w:p>
    <w:p>
      <w:pPr>
        <w:tabs>
          <w:tab w:val="left" w:pos="420"/>
        </w:tabs>
        <w:spacing w:line="360" w:lineRule="auto"/>
        <w:jc w:val="left"/>
        <w:rPr>
          <w:rFonts w:ascii="宋体" w:hAnsi="宋体" w:cs="宋体"/>
          <w:sz w:val="21"/>
          <w:szCs w:val="21"/>
          <w:highlight w:val="none"/>
          <w:lang w:val="zh-CN"/>
        </w:rPr>
      </w:pPr>
      <w:r>
        <w:rPr>
          <w:rFonts w:hint="eastAsia"/>
          <w:b/>
          <w:bCs/>
          <w:sz w:val="21"/>
          <w:szCs w:val="21"/>
          <w:highlight w:val="none"/>
        </w:rPr>
        <w:t>配置要求：</w:t>
      </w:r>
    </w:p>
    <w:tbl>
      <w:tblPr>
        <w:tblStyle w:val="12"/>
        <w:tblpPr w:leftFromText="180" w:rightFromText="180" w:vertAnchor="text" w:horzAnchor="margin" w:tblpY="30"/>
        <w:tblW w:w="8947" w:type="dxa"/>
        <w:tblInd w:w="0" w:type="dxa"/>
        <w:tblLayout w:type="autofit"/>
        <w:tblCellMar>
          <w:top w:w="0" w:type="dxa"/>
          <w:left w:w="108" w:type="dxa"/>
          <w:bottom w:w="0" w:type="dxa"/>
          <w:right w:w="108" w:type="dxa"/>
        </w:tblCellMar>
      </w:tblPr>
      <w:tblGrid>
        <w:gridCol w:w="998"/>
        <w:gridCol w:w="6237"/>
        <w:gridCol w:w="1712"/>
      </w:tblGrid>
      <w:tr>
        <w:tblPrEx>
          <w:tblCellMar>
            <w:top w:w="0" w:type="dxa"/>
            <w:left w:w="108" w:type="dxa"/>
            <w:bottom w:w="0" w:type="dxa"/>
            <w:right w:w="108" w:type="dxa"/>
          </w:tblCellMar>
        </w:tblPrEx>
        <w:trPr>
          <w:trHeight w:val="300"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sz w:val="21"/>
                <w:szCs w:val="21"/>
                <w:highlight w:val="none"/>
              </w:rPr>
            </w:pPr>
            <w:r>
              <w:rPr>
                <w:rFonts w:hint="eastAsia" w:ascii="宋体" w:hAnsi="宋体" w:cs="宋体"/>
                <w:sz w:val="21"/>
                <w:szCs w:val="21"/>
                <w:highlight w:val="none"/>
              </w:rPr>
              <w:t>序列</w:t>
            </w:r>
          </w:p>
        </w:tc>
        <w:tc>
          <w:tcPr>
            <w:tcW w:w="6237"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360" w:lineRule="auto"/>
              <w:jc w:val="center"/>
              <w:rPr>
                <w:rFonts w:ascii="宋体" w:hAnsi="宋体" w:cs="宋体"/>
                <w:sz w:val="21"/>
                <w:szCs w:val="21"/>
                <w:highlight w:val="none"/>
              </w:rPr>
            </w:pPr>
            <w:r>
              <w:rPr>
                <w:rFonts w:hint="eastAsia" w:ascii="宋体" w:hAnsi="宋体" w:cs="宋体"/>
                <w:sz w:val="21"/>
                <w:szCs w:val="21"/>
                <w:highlight w:val="none"/>
              </w:rPr>
              <w:t>名称</w:t>
            </w:r>
          </w:p>
        </w:tc>
        <w:tc>
          <w:tcPr>
            <w:tcW w:w="1712"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360" w:lineRule="auto"/>
              <w:jc w:val="center"/>
              <w:rPr>
                <w:rFonts w:ascii="宋体" w:hAnsi="宋体" w:cs="宋体"/>
                <w:sz w:val="21"/>
                <w:szCs w:val="21"/>
                <w:highlight w:val="none"/>
              </w:rPr>
            </w:pPr>
            <w:r>
              <w:rPr>
                <w:rFonts w:hint="eastAsia" w:ascii="宋体" w:hAnsi="宋体" w:cs="宋体"/>
                <w:sz w:val="21"/>
                <w:szCs w:val="21"/>
                <w:highlight w:val="none"/>
              </w:rPr>
              <w:t>数量</w:t>
            </w:r>
          </w:p>
        </w:tc>
      </w:tr>
      <w:tr>
        <w:tblPrEx>
          <w:tblCellMar>
            <w:top w:w="0" w:type="dxa"/>
            <w:left w:w="108" w:type="dxa"/>
            <w:bottom w:w="0" w:type="dxa"/>
            <w:right w:w="108" w:type="dxa"/>
          </w:tblCellMar>
        </w:tblPrEx>
        <w:trPr>
          <w:trHeight w:val="300"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sz w:val="21"/>
                <w:szCs w:val="21"/>
                <w:highlight w:val="none"/>
              </w:rPr>
            </w:pPr>
            <w:r>
              <w:rPr>
                <w:rFonts w:hint="eastAsia" w:ascii="宋体" w:hAnsi="宋体" w:cs="宋体"/>
                <w:sz w:val="21"/>
                <w:szCs w:val="21"/>
                <w:highlight w:val="none"/>
              </w:rPr>
              <w:t>1</w:t>
            </w:r>
          </w:p>
        </w:tc>
        <w:tc>
          <w:tcPr>
            <w:tcW w:w="6237"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360" w:lineRule="auto"/>
              <w:jc w:val="left"/>
              <w:rPr>
                <w:rFonts w:ascii="宋体" w:hAnsi="宋体" w:cs="宋体"/>
                <w:sz w:val="21"/>
                <w:szCs w:val="21"/>
                <w:highlight w:val="none"/>
              </w:rPr>
            </w:pPr>
            <w:r>
              <w:rPr>
                <w:rFonts w:hint="eastAsia" w:ascii="宋体" w:hAnsi="宋体" w:cs="宋体"/>
                <w:color w:val="000000"/>
                <w:sz w:val="21"/>
                <w:szCs w:val="21"/>
                <w:highlight w:val="none"/>
              </w:rPr>
              <w:t>电热鼓风干燥箱</w:t>
            </w:r>
          </w:p>
        </w:tc>
        <w:tc>
          <w:tcPr>
            <w:tcW w:w="1712"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360" w:lineRule="auto"/>
              <w:jc w:val="center"/>
              <w:rPr>
                <w:rFonts w:ascii="宋体" w:hAnsi="宋体" w:cs="宋体"/>
                <w:sz w:val="21"/>
                <w:szCs w:val="21"/>
                <w:highlight w:val="none"/>
              </w:rPr>
            </w:pPr>
            <w:r>
              <w:rPr>
                <w:rFonts w:hint="eastAsia" w:ascii="宋体" w:hAnsi="宋体" w:cs="宋体"/>
                <w:sz w:val="21"/>
                <w:szCs w:val="21"/>
                <w:highlight w:val="none"/>
              </w:rPr>
              <w:t>1台</w:t>
            </w:r>
          </w:p>
        </w:tc>
      </w:tr>
      <w:tr>
        <w:tblPrEx>
          <w:tblCellMar>
            <w:top w:w="0" w:type="dxa"/>
            <w:left w:w="108" w:type="dxa"/>
            <w:bottom w:w="0" w:type="dxa"/>
            <w:right w:w="108" w:type="dxa"/>
          </w:tblCellMar>
        </w:tblPrEx>
        <w:trPr>
          <w:trHeight w:val="248" w:hRule="atLeast"/>
        </w:trPr>
        <w:tc>
          <w:tcPr>
            <w:tcW w:w="9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highlight w:val="none"/>
              </w:rPr>
            </w:pPr>
            <w:r>
              <w:rPr>
                <w:rFonts w:hint="eastAsia" w:ascii="宋体" w:hAnsi="宋体" w:cs="宋体"/>
                <w:sz w:val="21"/>
                <w:szCs w:val="21"/>
                <w:highlight w:val="none"/>
              </w:rPr>
              <w:t>2</w:t>
            </w:r>
          </w:p>
        </w:tc>
        <w:tc>
          <w:tcPr>
            <w:tcW w:w="6237"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360" w:lineRule="auto"/>
              <w:jc w:val="left"/>
              <w:rPr>
                <w:rFonts w:ascii="宋体" w:hAnsi="宋体" w:cs="宋体"/>
                <w:sz w:val="21"/>
                <w:szCs w:val="21"/>
                <w:highlight w:val="none"/>
              </w:rPr>
            </w:pPr>
            <w:r>
              <w:rPr>
                <w:rFonts w:hint="eastAsia" w:ascii="宋体" w:hAnsi="宋体" w:cs="宋体"/>
                <w:color w:val="000000"/>
                <w:sz w:val="21"/>
                <w:szCs w:val="21"/>
                <w:highlight w:val="none"/>
              </w:rPr>
              <w:t>不锈钢隔板</w:t>
            </w:r>
          </w:p>
        </w:tc>
        <w:tc>
          <w:tcPr>
            <w:tcW w:w="1712" w:type="dxa"/>
            <w:tcBorders>
              <w:top w:val="single" w:color="auto" w:sz="4" w:space="0"/>
              <w:left w:val="single" w:color="auto" w:sz="4" w:space="0"/>
              <w:bottom w:val="single" w:color="auto" w:sz="4" w:space="0"/>
              <w:right w:val="single" w:color="auto" w:sz="4" w:space="0"/>
            </w:tcBorders>
            <w:shd w:val="clear" w:color="auto" w:fill="auto"/>
            <w:noWrap/>
          </w:tcPr>
          <w:p>
            <w:pPr>
              <w:spacing w:line="360" w:lineRule="auto"/>
              <w:jc w:val="center"/>
              <w:rPr>
                <w:rFonts w:ascii="宋体" w:hAnsi="宋体" w:cs="宋体"/>
                <w:sz w:val="21"/>
                <w:szCs w:val="21"/>
                <w:highlight w:val="none"/>
              </w:rPr>
            </w:pPr>
            <w:r>
              <w:rPr>
                <w:rFonts w:hint="eastAsia" w:ascii="宋体" w:hAnsi="宋体" w:cs="宋体"/>
                <w:sz w:val="21"/>
                <w:szCs w:val="21"/>
                <w:highlight w:val="none"/>
              </w:rPr>
              <w:t>2块</w:t>
            </w:r>
          </w:p>
        </w:tc>
      </w:tr>
    </w:tbl>
    <w:p>
      <w:pPr>
        <w:autoSpaceDE w:val="0"/>
        <w:autoSpaceDN w:val="0"/>
        <w:adjustRightInd w:val="0"/>
        <w:spacing w:line="360" w:lineRule="auto"/>
        <w:rPr>
          <w:b/>
          <w:bCs/>
          <w:color w:val="C00000"/>
          <w:sz w:val="21"/>
          <w:szCs w:val="21"/>
          <w:highlight w:val="none"/>
        </w:rPr>
      </w:pPr>
      <w:r>
        <w:rPr>
          <w:rFonts w:hint="eastAsia"/>
          <w:b/>
          <w:bCs/>
          <w:sz w:val="21"/>
          <w:szCs w:val="21"/>
          <w:highlight w:val="none"/>
        </w:rPr>
        <w:t>技术指标</w:t>
      </w:r>
    </w:p>
    <w:p>
      <w:pPr>
        <w:pStyle w:val="9"/>
        <w:spacing w:before="0" w:beforeAutospacing="0" w:after="0" w:afterAutospacing="0" w:line="360" w:lineRule="auto"/>
        <w:jc w:val="both"/>
        <w:rPr>
          <w:rFonts w:eastAsia="宋体"/>
          <w:color w:val="C00000"/>
          <w:sz w:val="21"/>
          <w:szCs w:val="21"/>
          <w:highlight w:val="none"/>
        </w:rPr>
      </w:pPr>
      <w:r>
        <w:rPr>
          <w:rFonts w:hint="eastAsia" w:ascii="宋体" w:hAnsi="宋体" w:cs="宋体"/>
          <w:b/>
          <w:bCs/>
          <w:sz w:val="21"/>
          <w:szCs w:val="21"/>
          <w:highlight w:val="none"/>
        </w:rPr>
        <w:t>*1、性能指标：</w:t>
      </w:r>
      <w:r>
        <w:rPr>
          <w:rFonts w:hint="eastAsia" w:ascii="宋体" w:hAnsi="宋体" w:cs="宋体"/>
          <w:sz w:val="21"/>
          <w:szCs w:val="21"/>
          <w:highlight w:val="none"/>
        </w:rPr>
        <w:t>温度可调节范围≥室温～270℃；具有程序升温和快速升温功能，升温时间＜2h（室温～270℃）；由PID（Proportion Integration Differentiation.比例-积分-微分）控制器控制，自带校正功能。温度均一度：≤±2.0℃（at 150℃）；温度稳定性：≤0.2℃（at 150℃）</w:t>
      </w:r>
      <w:r>
        <w:rPr>
          <w:rFonts w:eastAsia="宋体"/>
          <w:color w:val="C00000"/>
          <w:sz w:val="21"/>
          <w:szCs w:val="21"/>
          <w:highlight w:val="none"/>
        </w:rPr>
        <w:t>（需提供产品彩页或官方网站链接及截图等作为证明资料）</w:t>
      </w:r>
      <w:r>
        <w:rPr>
          <w:rFonts w:hint="eastAsia" w:eastAsia="宋体"/>
          <w:color w:val="C00000"/>
          <w:sz w:val="21"/>
          <w:szCs w:val="21"/>
          <w:highlight w:val="none"/>
        </w:rPr>
        <w:t>。</w:t>
      </w:r>
    </w:p>
    <w:p>
      <w:pPr>
        <w:pStyle w:val="9"/>
        <w:spacing w:before="0" w:beforeAutospacing="0" w:after="0" w:afterAutospacing="0" w:line="360" w:lineRule="auto"/>
        <w:jc w:val="both"/>
        <w:rPr>
          <w:rFonts w:eastAsia="宋体"/>
          <w:color w:val="C00000"/>
          <w:sz w:val="21"/>
          <w:szCs w:val="21"/>
          <w:highlight w:val="none"/>
        </w:rPr>
      </w:pPr>
      <w:r>
        <w:rPr>
          <w:rFonts w:hint="eastAsia" w:ascii="宋体" w:hAnsi="宋体" w:cs="宋体"/>
          <w:b/>
          <w:bCs/>
          <w:sz w:val="21"/>
          <w:szCs w:val="21"/>
          <w:highlight w:val="none"/>
        </w:rPr>
        <w:t>*2、加热器功率：</w:t>
      </w:r>
      <w:r>
        <w:rPr>
          <w:rFonts w:hint="eastAsia" w:ascii="宋体" w:hAnsi="宋体" w:cs="宋体"/>
          <w:sz w:val="21"/>
          <w:szCs w:val="21"/>
          <w:highlight w:val="none"/>
        </w:rPr>
        <w:t>＞1.2KW；机械对流，可以调节风扇速度</w:t>
      </w:r>
      <w:r>
        <w:rPr>
          <w:rFonts w:eastAsia="宋体"/>
          <w:color w:val="C00000"/>
          <w:sz w:val="21"/>
          <w:szCs w:val="21"/>
          <w:highlight w:val="none"/>
        </w:rPr>
        <w:t>（需提供产品彩页或官方网站链接及截图等作为证明资料）</w:t>
      </w:r>
      <w:r>
        <w:rPr>
          <w:rFonts w:hint="eastAsia" w:eastAsia="宋体"/>
          <w:color w:val="C00000"/>
          <w:sz w:val="21"/>
          <w:szCs w:val="21"/>
          <w:highlight w:val="none"/>
        </w:rPr>
        <w:t>。</w:t>
      </w:r>
    </w:p>
    <w:p>
      <w:pPr>
        <w:spacing w:line="360" w:lineRule="auto"/>
        <w:rPr>
          <w:rFonts w:ascii="宋体" w:hAnsi="宋体" w:cs="宋体"/>
          <w:sz w:val="21"/>
          <w:szCs w:val="21"/>
          <w:highlight w:val="none"/>
        </w:rPr>
      </w:pPr>
      <w:r>
        <w:rPr>
          <w:rFonts w:hint="eastAsia" w:ascii="宋体" w:hAnsi="宋体" w:cs="宋体"/>
          <w:b/>
          <w:bCs/>
          <w:sz w:val="21"/>
          <w:szCs w:val="21"/>
          <w:highlight w:val="none"/>
        </w:rPr>
        <w:t>3、定时功能：</w:t>
      </w:r>
      <w:r>
        <w:rPr>
          <w:rFonts w:hint="eastAsia" w:ascii="宋体" w:hAnsi="宋体" w:cs="宋体"/>
          <w:sz w:val="21"/>
          <w:szCs w:val="21"/>
          <w:highlight w:val="none"/>
        </w:rPr>
        <w:t>可实现定时运行或连续运行，自动开关机。</w:t>
      </w:r>
    </w:p>
    <w:p>
      <w:pPr>
        <w:spacing w:line="360" w:lineRule="auto"/>
        <w:rPr>
          <w:rFonts w:ascii="宋体" w:hAnsi="宋体" w:cs="宋体"/>
          <w:sz w:val="21"/>
          <w:szCs w:val="21"/>
          <w:highlight w:val="none"/>
        </w:rPr>
      </w:pPr>
      <w:r>
        <w:rPr>
          <w:rFonts w:hint="eastAsia" w:ascii="宋体" w:hAnsi="宋体" w:cs="宋体"/>
          <w:b/>
          <w:bCs/>
          <w:sz w:val="21"/>
          <w:szCs w:val="21"/>
          <w:highlight w:val="none"/>
        </w:rPr>
        <w:t>4、标配独立过升防止器回路：</w:t>
      </w:r>
      <w:r>
        <w:rPr>
          <w:rFonts w:hint="eastAsia" w:ascii="宋体" w:hAnsi="宋体" w:cs="宋体"/>
          <w:sz w:val="21"/>
          <w:szCs w:val="21"/>
          <w:highlight w:val="none"/>
        </w:rPr>
        <w:t>遇超过温度上限时、加热器或传感器异常时、箱门未关合等故障发生时，警示灯亮，并显示报警内容。</w:t>
      </w:r>
    </w:p>
    <w:p>
      <w:pPr>
        <w:spacing w:line="360" w:lineRule="auto"/>
        <w:rPr>
          <w:sz w:val="21"/>
          <w:szCs w:val="21"/>
          <w:highlight w:val="none"/>
        </w:rPr>
      </w:pPr>
      <w:r>
        <w:rPr>
          <w:rFonts w:hint="eastAsia" w:ascii="宋体" w:hAnsi="宋体" w:cs="宋体"/>
          <w:b/>
          <w:bCs/>
          <w:sz w:val="21"/>
          <w:szCs w:val="21"/>
          <w:highlight w:val="none"/>
        </w:rPr>
        <w:t>5、外观及材质：</w:t>
      </w:r>
      <w:r>
        <w:rPr>
          <w:rFonts w:hint="eastAsia" w:ascii="宋体" w:hAnsi="宋体" w:cs="宋体"/>
          <w:sz w:val="21"/>
          <w:szCs w:val="21"/>
          <w:highlight w:val="none"/>
        </w:rPr>
        <w:t>干燥箱体积≥145L；内部及隔板均为不锈钢304材质，具有三重玻璃观察窗。液晶显示屏，可视性高。</w:t>
      </w:r>
      <w:r>
        <w:rPr>
          <w:rFonts w:hint="eastAsia"/>
          <w:sz w:val="21"/>
          <w:szCs w:val="21"/>
          <w:highlight w:val="none"/>
        </w:rPr>
        <w:t>开门方向左右可定制。</w:t>
      </w:r>
    </w:p>
    <w:p>
      <w:pPr>
        <w:numPr>
          <w:ilvl w:val="0"/>
          <w:numId w:val="6"/>
        </w:numPr>
        <w:tabs>
          <w:tab w:val="left" w:pos="420"/>
        </w:tabs>
        <w:spacing w:line="360" w:lineRule="auto"/>
        <w:jc w:val="left"/>
        <w:rPr>
          <w:rFonts w:ascii="宋体" w:hAnsi="宋体" w:cs="宋体"/>
          <w:b/>
          <w:color w:val="000000"/>
          <w:sz w:val="21"/>
          <w:szCs w:val="21"/>
          <w:highlight w:val="none"/>
        </w:rPr>
      </w:pPr>
      <w:r>
        <w:rPr>
          <w:rFonts w:hint="eastAsia" w:ascii="宋体" w:hAnsi="宋体" w:cs="宋体"/>
          <w:b/>
          <w:bCs/>
          <w:sz w:val="21"/>
          <w:szCs w:val="21"/>
          <w:highlight w:val="none"/>
          <w:lang w:val="zh-CN"/>
        </w:rPr>
        <w:t>瓶口分液器</w:t>
      </w:r>
    </w:p>
    <w:p>
      <w:pPr>
        <w:rPr>
          <w:rFonts w:hint="eastAsia" w:ascii="宋体" w:hAnsi="宋体" w:cs="宋体"/>
          <w:b/>
          <w:bCs/>
          <w:sz w:val="21"/>
          <w:szCs w:val="21"/>
          <w:highlight w:val="none"/>
        </w:rPr>
      </w:pPr>
      <w:r>
        <w:rPr>
          <w:rFonts w:hint="eastAsia" w:ascii="宋体" w:hAnsi="宋体" w:cs="宋体"/>
          <w:b/>
          <w:bCs/>
          <w:sz w:val="21"/>
          <w:szCs w:val="21"/>
          <w:highlight w:val="none"/>
        </w:rPr>
        <w:t>配置要求：</w:t>
      </w:r>
    </w:p>
    <w:tbl>
      <w:tblPr>
        <w:tblStyle w:val="12"/>
        <w:tblW w:w="7951" w:type="dxa"/>
        <w:jc w:val="center"/>
        <w:tblLayout w:type="fixed"/>
        <w:tblCellMar>
          <w:top w:w="0" w:type="dxa"/>
          <w:left w:w="108" w:type="dxa"/>
          <w:bottom w:w="0" w:type="dxa"/>
          <w:right w:w="108" w:type="dxa"/>
        </w:tblCellMar>
      </w:tblPr>
      <w:tblGrid>
        <w:gridCol w:w="1539"/>
        <w:gridCol w:w="3337"/>
        <w:gridCol w:w="1016"/>
        <w:gridCol w:w="2059"/>
      </w:tblGrid>
      <w:tr>
        <w:tblPrEx>
          <w:tblCellMar>
            <w:top w:w="0" w:type="dxa"/>
            <w:left w:w="108" w:type="dxa"/>
            <w:bottom w:w="0" w:type="dxa"/>
            <w:right w:w="108" w:type="dxa"/>
          </w:tblCellMar>
        </w:tblPrEx>
        <w:trPr>
          <w:trHeight w:val="360" w:hRule="atLeast"/>
          <w:jc w:val="center"/>
        </w:trPr>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rPr>
              <w:t>序 号</w:t>
            </w: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名称</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rPr>
              <w:t>单位</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rPr>
              <w:t>数量</w:t>
            </w:r>
          </w:p>
        </w:tc>
      </w:tr>
      <w:tr>
        <w:tblPrEx>
          <w:tblCellMar>
            <w:top w:w="0" w:type="dxa"/>
            <w:left w:w="108" w:type="dxa"/>
            <w:bottom w:w="0" w:type="dxa"/>
            <w:right w:w="108" w:type="dxa"/>
          </w:tblCellMar>
        </w:tblPrEx>
        <w:trPr>
          <w:trHeight w:val="642" w:hRule="atLeast"/>
          <w:jc w:val="center"/>
        </w:trPr>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rPr>
              <w:t>1</w:t>
            </w:r>
          </w:p>
        </w:tc>
        <w:tc>
          <w:tcPr>
            <w:tcW w:w="3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kern w:val="0"/>
                <w:sz w:val="21"/>
                <w:szCs w:val="21"/>
                <w:highlight w:val="none"/>
                <w:lang w:val="en-US" w:eastAsia="zh-CN"/>
              </w:rPr>
              <w:t>瓶口分液器（标配进液管、分液管及3个变口适配器）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套</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2</w:t>
            </w:r>
          </w:p>
        </w:tc>
      </w:tr>
      <w:tr>
        <w:tblPrEx>
          <w:tblCellMar>
            <w:top w:w="0" w:type="dxa"/>
            <w:left w:w="108" w:type="dxa"/>
            <w:bottom w:w="0" w:type="dxa"/>
            <w:right w:w="108" w:type="dxa"/>
          </w:tblCellMar>
        </w:tblPrEx>
        <w:trPr>
          <w:trHeight w:val="499" w:hRule="atLeast"/>
          <w:jc w:val="center"/>
        </w:trPr>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rPr>
              <w:t>2</w:t>
            </w:r>
          </w:p>
        </w:tc>
        <w:tc>
          <w:tcPr>
            <w:tcW w:w="3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进液管</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根</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4</w:t>
            </w:r>
          </w:p>
        </w:tc>
      </w:tr>
      <w:tr>
        <w:tblPrEx>
          <w:tblCellMar>
            <w:top w:w="0" w:type="dxa"/>
            <w:left w:w="108" w:type="dxa"/>
            <w:bottom w:w="0" w:type="dxa"/>
            <w:right w:w="108" w:type="dxa"/>
          </w:tblCellMar>
        </w:tblPrEx>
        <w:trPr>
          <w:trHeight w:val="499" w:hRule="atLeast"/>
          <w:jc w:val="center"/>
        </w:trPr>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rPr>
              <w:t>3</w:t>
            </w:r>
          </w:p>
        </w:tc>
        <w:tc>
          <w:tcPr>
            <w:tcW w:w="3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分液延长管和分液头</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套</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2</w:t>
            </w:r>
          </w:p>
        </w:tc>
      </w:tr>
      <w:tr>
        <w:tblPrEx>
          <w:tblCellMar>
            <w:top w:w="0" w:type="dxa"/>
            <w:left w:w="108" w:type="dxa"/>
            <w:bottom w:w="0" w:type="dxa"/>
            <w:right w:w="108" w:type="dxa"/>
          </w:tblCellMar>
        </w:tblPrEx>
        <w:trPr>
          <w:trHeight w:val="499" w:hRule="atLeast"/>
          <w:jc w:val="center"/>
        </w:trPr>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rPr>
              <w:t>4</w:t>
            </w:r>
          </w:p>
        </w:tc>
        <w:tc>
          <w:tcPr>
            <w:tcW w:w="3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分液稳定架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个</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2</w:t>
            </w:r>
          </w:p>
        </w:tc>
      </w:tr>
    </w:tbl>
    <w:p>
      <w:pPr>
        <w:autoSpaceDE w:val="0"/>
        <w:autoSpaceDN w:val="0"/>
        <w:adjustRightInd w:val="0"/>
        <w:spacing w:line="360" w:lineRule="auto"/>
        <w:rPr>
          <w:rFonts w:ascii="宋体" w:hAnsi="宋体" w:cs="宋体"/>
          <w:b/>
          <w:color w:val="C00000"/>
          <w:sz w:val="21"/>
          <w:szCs w:val="21"/>
          <w:highlight w:val="none"/>
        </w:rPr>
      </w:pPr>
      <w:r>
        <w:rPr>
          <w:rFonts w:hint="eastAsia" w:ascii="宋体" w:hAnsi="宋体" w:cs="宋体"/>
          <w:b/>
          <w:bCs/>
          <w:sz w:val="21"/>
          <w:szCs w:val="21"/>
          <w:highlight w:val="none"/>
        </w:rPr>
        <w:t>技术指标</w:t>
      </w:r>
    </w:p>
    <w:p>
      <w:pPr>
        <w:pStyle w:val="9"/>
        <w:spacing w:before="0" w:beforeAutospacing="0" w:after="0" w:afterAutospacing="0" w:line="360" w:lineRule="auto"/>
        <w:jc w:val="both"/>
        <w:rPr>
          <w:rFonts w:eastAsia="宋体"/>
          <w:color w:val="C00000"/>
          <w:sz w:val="21"/>
          <w:szCs w:val="21"/>
          <w:highlight w:val="none"/>
        </w:rPr>
      </w:pPr>
      <w:r>
        <w:rPr>
          <w:rFonts w:hint="eastAsia" w:ascii="宋体" w:hAnsi="宋体" w:cs="宋体"/>
          <w:b/>
          <w:bCs/>
          <w:color w:val="000000"/>
          <w:sz w:val="21"/>
          <w:szCs w:val="21"/>
          <w:highlight w:val="none"/>
        </w:rPr>
        <w:t>*</w:t>
      </w:r>
      <w:r>
        <w:rPr>
          <w:rFonts w:hint="eastAsia" w:ascii="宋体" w:hAnsi="宋体" w:cs="宋体"/>
          <w:b/>
          <w:bCs/>
          <w:color w:val="000000" w:themeColor="text1"/>
          <w:sz w:val="21"/>
          <w:szCs w:val="21"/>
          <w:highlight w:val="none"/>
          <w:shd w:val="clear" w:color="auto" w:fill="FFFFFF"/>
          <w14:textFill>
            <w14:solidFill>
              <w14:schemeClr w14:val="tx1"/>
            </w14:solidFill>
          </w14:textFill>
        </w:rPr>
        <w:t>1、通用型瓶口分液器：</w:t>
      </w:r>
      <w:r>
        <w:rPr>
          <w:rFonts w:hint="eastAsia" w:ascii="宋体" w:hAnsi="宋体" w:cs="宋体"/>
          <w:color w:val="000000" w:themeColor="text1"/>
          <w:sz w:val="21"/>
          <w:szCs w:val="21"/>
          <w:highlight w:val="none"/>
          <w:shd w:val="clear" w:color="auto" w:fill="FFFFFF"/>
          <w14:textFill>
            <w14:solidFill>
              <w14:schemeClr w14:val="tx1"/>
            </w14:solidFill>
          </w14:textFill>
        </w:rPr>
        <w:t>内活塞带有PFA镀层，具有良好的防腐蚀性和对结晶的防护作用，耐酸耐碱，能够用于实验室各种试剂的分液</w:t>
      </w:r>
      <w:r>
        <w:rPr>
          <w:rFonts w:eastAsia="宋体"/>
          <w:color w:val="C00000"/>
          <w:sz w:val="21"/>
          <w:szCs w:val="21"/>
          <w:highlight w:val="none"/>
        </w:rPr>
        <w:t>（需提供产品彩页或官方网站链接及截图等作为证明资料）</w:t>
      </w:r>
      <w:r>
        <w:rPr>
          <w:rFonts w:hint="eastAsia" w:eastAsia="宋体"/>
          <w:color w:val="C00000"/>
          <w:sz w:val="21"/>
          <w:szCs w:val="21"/>
          <w:highlight w:val="none"/>
        </w:rPr>
        <w:t>。</w:t>
      </w:r>
    </w:p>
    <w:p>
      <w:pPr>
        <w:spacing w:line="360" w:lineRule="auto"/>
        <w:jc w:val="left"/>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b/>
          <w:bCs/>
          <w:color w:val="000000" w:themeColor="text1"/>
          <w:sz w:val="21"/>
          <w:szCs w:val="21"/>
          <w:highlight w:val="none"/>
          <w:shd w:val="clear" w:color="auto" w:fill="FFFFFF"/>
          <w14:textFill>
            <w14:solidFill>
              <w14:schemeClr w14:val="tx1"/>
            </w14:solidFill>
          </w14:textFill>
        </w:rPr>
        <w:t>2、液体接触部件均为高化学防腐蚀材料：</w:t>
      </w:r>
    </w:p>
    <w:tbl>
      <w:tblPr>
        <w:tblStyle w:val="13"/>
        <w:tblW w:w="6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2"/>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562" w:type="dxa"/>
            <w:vAlign w:val="center"/>
          </w:tcPr>
          <w:p>
            <w:pPr>
              <w:pStyle w:val="9"/>
              <w:widowControl/>
              <w:spacing w:beforeAutospacing="0" w:afterAutospacing="0" w:line="360" w:lineRule="auto"/>
              <w:jc w:val="center"/>
              <w:rPr>
                <w:rFonts w:ascii="宋体" w:hAnsi="宋体" w:cs="宋体"/>
                <w:b/>
                <w:bCs/>
                <w:color w:val="FFFFFF"/>
                <w:sz w:val="21"/>
                <w:szCs w:val="21"/>
                <w:highlight w:val="none"/>
              </w:rPr>
            </w:pPr>
            <w:r>
              <w:rPr>
                <w:rFonts w:hint="eastAsia" w:ascii="宋体" w:hAnsi="宋体" w:cs="宋体"/>
                <w:b/>
                <w:bCs/>
                <w:sz w:val="21"/>
                <w:szCs w:val="21"/>
                <w:highlight w:val="none"/>
              </w:rPr>
              <w:t>部件</w:t>
            </w:r>
          </w:p>
        </w:tc>
        <w:tc>
          <w:tcPr>
            <w:tcW w:w="3401" w:type="dxa"/>
            <w:vAlign w:val="center"/>
          </w:tcPr>
          <w:p>
            <w:pPr>
              <w:pStyle w:val="9"/>
              <w:widowControl/>
              <w:spacing w:beforeAutospacing="0" w:afterAutospacing="0" w:line="360" w:lineRule="auto"/>
              <w:jc w:val="center"/>
              <w:rPr>
                <w:rFonts w:ascii="宋体" w:hAnsi="宋体" w:cs="宋体"/>
                <w:b/>
                <w:bCs/>
                <w:color w:val="FFFFFF"/>
                <w:sz w:val="21"/>
                <w:szCs w:val="21"/>
                <w:highlight w:val="none"/>
              </w:rPr>
            </w:pPr>
            <w:r>
              <w:rPr>
                <w:rFonts w:hint="eastAsia" w:ascii="宋体" w:hAnsi="宋体" w:cs="宋体"/>
                <w:b/>
                <w:bCs/>
                <w:sz w:val="21"/>
                <w:szCs w:val="21"/>
                <w:highlight w:val="none"/>
              </w:rPr>
              <w:t>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562" w:type="dxa"/>
            <w:vAlign w:val="center"/>
          </w:tcPr>
          <w:p>
            <w:pPr>
              <w:pStyle w:val="9"/>
              <w:widowControl/>
              <w:spacing w:beforeAutospacing="0" w:afterAutospacing="0" w:line="360" w:lineRule="auto"/>
              <w:jc w:val="center"/>
              <w:rPr>
                <w:rFonts w:ascii="宋体" w:hAnsi="宋体" w:cs="宋体"/>
                <w:color w:val="000000"/>
                <w:sz w:val="21"/>
                <w:szCs w:val="21"/>
                <w:highlight w:val="none"/>
              </w:rPr>
            </w:pPr>
            <w:r>
              <w:rPr>
                <w:rFonts w:hint="eastAsia" w:ascii="宋体" w:hAnsi="宋体" w:cs="宋体"/>
                <w:color w:val="000000"/>
                <w:sz w:val="21"/>
                <w:szCs w:val="21"/>
                <w:highlight w:val="none"/>
              </w:rPr>
              <w:t>进液管</w:t>
            </w:r>
          </w:p>
        </w:tc>
        <w:tc>
          <w:tcPr>
            <w:tcW w:w="3401" w:type="dxa"/>
            <w:vAlign w:val="center"/>
          </w:tcPr>
          <w:p>
            <w:pPr>
              <w:pStyle w:val="9"/>
              <w:widowControl/>
              <w:spacing w:beforeAutospacing="0" w:afterAutospacing="0" w:line="360" w:lineRule="auto"/>
              <w:jc w:val="center"/>
              <w:rPr>
                <w:rFonts w:ascii="宋体" w:hAnsi="宋体" w:cs="宋体"/>
                <w:color w:val="000000"/>
                <w:sz w:val="21"/>
                <w:szCs w:val="21"/>
                <w:highlight w:val="none"/>
              </w:rPr>
            </w:pPr>
            <w:r>
              <w:rPr>
                <w:rFonts w:hint="eastAsia" w:ascii="宋体" w:hAnsi="宋体" w:cs="宋体"/>
                <w:color w:val="000000"/>
                <w:sz w:val="21"/>
                <w:szCs w:val="21"/>
                <w:highlight w:val="none"/>
              </w:rPr>
              <w:t>PTFE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562" w:type="dxa"/>
            <w:vAlign w:val="center"/>
          </w:tcPr>
          <w:p>
            <w:pPr>
              <w:pStyle w:val="9"/>
              <w:widowControl/>
              <w:spacing w:beforeAutospacing="0" w:afterAutospacing="0" w:line="360" w:lineRule="auto"/>
              <w:jc w:val="center"/>
              <w:rPr>
                <w:rFonts w:ascii="宋体" w:hAnsi="宋体" w:cs="宋体"/>
                <w:color w:val="000000"/>
                <w:sz w:val="21"/>
                <w:szCs w:val="21"/>
                <w:highlight w:val="none"/>
              </w:rPr>
            </w:pPr>
            <w:r>
              <w:rPr>
                <w:rFonts w:hint="eastAsia" w:ascii="宋体" w:hAnsi="宋体" w:cs="宋体"/>
                <w:color w:val="000000"/>
                <w:sz w:val="21"/>
                <w:szCs w:val="21"/>
                <w:highlight w:val="none"/>
              </w:rPr>
              <w:t>阀门</w:t>
            </w:r>
          </w:p>
        </w:tc>
        <w:tc>
          <w:tcPr>
            <w:tcW w:w="3401" w:type="dxa"/>
            <w:vAlign w:val="center"/>
          </w:tcPr>
          <w:p>
            <w:pPr>
              <w:pStyle w:val="9"/>
              <w:widowControl/>
              <w:spacing w:beforeAutospacing="0" w:afterAutospacing="0" w:line="360" w:lineRule="auto"/>
              <w:jc w:val="center"/>
              <w:rPr>
                <w:rFonts w:ascii="宋体" w:hAnsi="宋体" w:cs="宋体"/>
                <w:color w:val="000000"/>
                <w:sz w:val="21"/>
                <w:szCs w:val="21"/>
                <w:highlight w:val="none"/>
              </w:rPr>
            </w:pPr>
            <w:r>
              <w:rPr>
                <w:rFonts w:hint="eastAsia" w:ascii="宋体" w:hAnsi="宋体" w:cs="宋体"/>
                <w:color w:val="000000"/>
                <w:sz w:val="21"/>
                <w:szCs w:val="21"/>
                <w:highlight w:val="none"/>
              </w:rPr>
              <w:t>陶瓷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562" w:type="dxa"/>
            <w:vAlign w:val="center"/>
          </w:tcPr>
          <w:p>
            <w:pPr>
              <w:pStyle w:val="9"/>
              <w:widowControl/>
              <w:spacing w:beforeAutospacing="0" w:afterAutospacing="0" w:line="360" w:lineRule="auto"/>
              <w:jc w:val="center"/>
              <w:rPr>
                <w:rFonts w:ascii="宋体" w:hAnsi="宋体" w:cs="宋体"/>
                <w:color w:val="000000"/>
                <w:sz w:val="21"/>
                <w:szCs w:val="21"/>
                <w:highlight w:val="none"/>
              </w:rPr>
            </w:pPr>
            <w:r>
              <w:rPr>
                <w:rFonts w:hint="eastAsia" w:ascii="宋体" w:hAnsi="宋体" w:cs="宋体"/>
                <w:color w:val="000000"/>
                <w:sz w:val="21"/>
                <w:szCs w:val="21"/>
                <w:highlight w:val="none"/>
              </w:rPr>
              <w:t>阀门球</w:t>
            </w:r>
          </w:p>
        </w:tc>
        <w:tc>
          <w:tcPr>
            <w:tcW w:w="3401" w:type="dxa"/>
            <w:vAlign w:val="center"/>
          </w:tcPr>
          <w:p>
            <w:pPr>
              <w:pStyle w:val="9"/>
              <w:widowControl/>
              <w:spacing w:beforeAutospacing="0" w:afterAutospacing="0" w:line="360" w:lineRule="auto"/>
              <w:jc w:val="center"/>
              <w:rPr>
                <w:rFonts w:ascii="宋体" w:hAnsi="宋体" w:cs="宋体"/>
                <w:color w:val="000000"/>
                <w:sz w:val="21"/>
                <w:szCs w:val="21"/>
                <w:highlight w:val="none"/>
              </w:rPr>
            </w:pPr>
            <w:r>
              <w:rPr>
                <w:rFonts w:hint="eastAsia" w:ascii="宋体" w:hAnsi="宋体" w:cs="宋体"/>
                <w:color w:val="000000"/>
                <w:sz w:val="21"/>
                <w:szCs w:val="21"/>
                <w:highlight w:val="none"/>
              </w:rPr>
              <w:t>高硅玻璃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562" w:type="dxa"/>
            <w:vAlign w:val="center"/>
          </w:tcPr>
          <w:p>
            <w:pPr>
              <w:pStyle w:val="9"/>
              <w:widowControl/>
              <w:spacing w:beforeAutospacing="0" w:afterAutospacing="0" w:line="360" w:lineRule="auto"/>
              <w:jc w:val="center"/>
              <w:rPr>
                <w:rFonts w:ascii="宋体" w:hAnsi="宋体" w:cs="宋体"/>
                <w:color w:val="000000"/>
                <w:sz w:val="21"/>
                <w:szCs w:val="21"/>
                <w:highlight w:val="none"/>
              </w:rPr>
            </w:pPr>
            <w:r>
              <w:rPr>
                <w:rFonts w:hint="eastAsia" w:ascii="宋体" w:hAnsi="宋体" w:cs="宋体"/>
                <w:color w:val="000000"/>
                <w:sz w:val="21"/>
                <w:szCs w:val="21"/>
                <w:highlight w:val="none"/>
              </w:rPr>
              <w:t>阀门弹簧</w:t>
            </w:r>
          </w:p>
        </w:tc>
        <w:tc>
          <w:tcPr>
            <w:tcW w:w="3401" w:type="dxa"/>
            <w:vAlign w:val="center"/>
          </w:tcPr>
          <w:p>
            <w:pPr>
              <w:pStyle w:val="9"/>
              <w:widowControl/>
              <w:spacing w:beforeAutospacing="0" w:afterAutospacing="0" w:line="360" w:lineRule="auto"/>
              <w:jc w:val="center"/>
              <w:rPr>
                <w:rFonts w:ascii="宋体" w:hAnsi="宋体" w:cs="宋体"/>
                <w:color w:val="000000"/>
                <w:sz w:val="21"/>
                <w:szCs w:val="21"/>
                <w:highlight w:val="none"/>
              </w:rPr>
            </w:pPr>
            <w:r>
              <w:rPr>
                <w:rFonts w:hint="eastAsia" w:ascii="宋体" w:hAnsi="宋体" w:cs="宋体"/>
                <w:color w:val="000000"/>
                <w:sz w:val="21"/>
                <w:szCs w:val="21"/>
                <w:highlight w:val="none"/>
              </w:rPr>
              <w:t>铂铱合金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562" w:type="dxa"/>
            <w:vAlign w:val="center"/>
          </w:tcPr>
          <w:p>
            <w:pPr>
              <w:pStyle w:val="9"/>
              <w:widowControl/>
              <w:spacing w:beforeAutospacing="0" w:afterAutospacing="0" w:line="360" w:lineRule="auto"/>
              <w:jc w:val="center"/>
              <w:rPr>
                <w:rFonts w:ascii="宋体" w:hAnsi="宋体" w:cs="宋体"/>
                <w:color w:val="000000"/>
                <w:sz w:val="21"/>
                <w:szCs w:val="21"/>
                <w:highlight w:val="none"/>
              </w:rPr>
            </w:pPr>
            <w:r>
              <w:rPr>
                <w:rFonts w:hint="eastAsia" w:ascii="宋体" w:hAnsi="宋体" w:cs="宋体"/>
                <w:color w:val="000000"/>
                <w:sz w:val="21"/>
                <w:szCs w:val="21"/>
                <w:highlight w:val="none"/>
              </w:rPr>
              <w:t>阀门平盘</w:t>
            </w:r>
          </w:p>
        </w:tc>
        <w:tc>
          <w:tcPr>
            <w:tcW w:w="3401" w:type="dxa"/>
            <w:vAlign w:val="center"/>
          </w:tcPr>
          <w:p>
            <w:pPr>
              <w:pStyle w:val="9"/>
              <w:widowControl/>
              <w:spacing w:beforeAutospacing="0" w:afterAutospacing="0" w:line="360" w:lineRule="auto"/>
              <w:jc w:val="center"/>
              <w:rPr>
                <w:rFonts w:ascii="宋体" w:hAnsi="宋体" w:cs="宋体"/>
                <w:color w:val="000000"/>
                <w:sz w:val="21"/>
                <w:szCs w:val="21"/>
                <w:highlight w:val="none"/>
              </w:rPr>
            </w:pPr>
            <w:r>
              <w:rPr>
                <w:rFonts w:hint="eastAsia" w:ascii="宋体" w:hAnsi="宋体" w:cs="宋体"/>
                <w:color w:val="000000"/>
                <w:sz w:val="21"/>
                <w:szCs w:val="21"/>
                <w:highlight w:val="none"/>
              </w:rPr>
              <w:t>PTFE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562" w:type="dxa"/>
            <w:vAlign w:val="center"/>
          </w:tcPr>
          <w:p>
            <w:pPr>
              <w:pStyle w:val="9"/>
              <w:widowControl/>
              <w:spacing w:beforeAutospacing="0" w:afterAutospacing="0" w:line="360" w:lineRule="auto"/>
              <w:jc w:val="center"/>
              <w:rPr>
                <w:rFonts w:ascii="宋体" w:hAnsi="宋体" w:cs="宋体"/>
                <w:color w:val="000000"/>
                <w:sz w:val="21"/>
                <w:szCs w:val="21"/>
                <w:highlight w:val="none"/>
              </w:rPr>
            </w:pPr>
            <w:r>
              <w:rPr>
                <w:rFonts w:hint="eastAsia" w:ascii="宋体" w:hAnsi="宋体" w:cs="宋体"/>
                <w:color w:val="000000"/>
                <w:sz w:val="21"/>
                <w:szCs w:val="21"/>
                <w:highlight w:val="none"/>
              </w:rPr>
              <w:t>内活塞</w:t>
            </w:r>
          </w:p>
        </w:tc>
        <w:tc>
          <w:tcPr>
            <w:tcW w:w="3401" w:type="dxa"/>
            <w:vAlign w:val="center"/>
          </w:tcPr>
          <w:p>
            <w:pPr>
              <w:pStyle w:val="9"/>
              <w:widowControl/>
              <w:spacing w:beforeAutospacing="0" w:afterAutospacing="0" w:line="360" w:lineRule="auto"/>
              <w:jc w:val="center"/>
              <w:rPr>
                <w:rFonts w:ascii="宋体" w:hAnsi="宋体" w:cs="宋体"/>
                <w:color w:val="000000"/>
                <w:sz w:val="21"/>
                <w:szCs w:val="21"/>
                <w:highlight w:val="none"/>
              </w:rPr>
            </w:pPr>
            <w:r>
              <w:rPr>
                <w:rFonts w:hint="eastAsia" w:ascii="宋体" w:hAnsi="宋体" w:cs="宋体"/>
                <w:color w:val="000000"/>
                <w:sz w:val="21"/>
                <w:szCs w:val="21"/>
                <w:highlight w:val="none"/>
              </w:rPr>
              <w:t>PFA 镀层玻璃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562" w:type="dxa"/>
            <w:vAlign w:val="center"/>
          </w:tcPr>
          <w:p>
            <w:pPr>
              <w:pStyle w:val="9"/>
              <w:widowControl/>
              <w:spacing w:beforeAutospacing="0" w:afterAutospacing="0" w:line="360" w:lineRule="auto"/>
              <w:jc w:val="center"/>
              <w:rPr>
                <w:rFonts w:ascii="宋体" w:hAnsi="宋体" w:cs="宋体"/>
                <w:color w:val="000000"/>
                <w:sz w:val="21"/>
                <w:szCs w:val="21"/>
                <w:highlight w:val="none"/>
              </w:rPr>
            </w:pPr>
            <w:r>
              <w:rPr>
                <w:rFonts w:hint="eastAsia" w:ascii="宋体" w:hAnsi="宋体" w:cs="宋体"/>
                <w:color w:val="000000"/>
                <w:sz w:val="21"/>
                <w:szCs w:val="21"/>
                <w:highlight w:val="none"/>
              </w:rPr>
              <w:t>活塞外套筒</w:t>
            </w:r>
          </w:p>
        </w:tc>
        <w:tc>
          <w:tcPr>
            <w:tcW w:w="3401" w:type="dxa"/>
            <w:vAlign w:val="center"/>
          </w:tcPr>
          <w:p>
            <w:pPr>
              <w:pStyle w:val="9"/>
              <w:widowControl/>
              <w:spacing w:beforeAutospacing="0" w:afterAutospacing="0" w:line="360" w:lineRule="auto"/>
              <w:jc w:val="center"/>
              <w:rPr>
                <w:rFonts w:ascii="宋体" w:hAnsi="宋体" w:cs="宋体"/>
                <w:color w:val="000000"/>
                <w:sz w:val="21"/>
                <w:szCs w:val="21"/>
                <w:highlight w:val="none"/>
              </w:rPr>
            </w:pPr>
            <w:r>
              <w:rPr>
                <w:rFonts w:hint="eastAsia" w:ascii="宋体" w:hAnsi="宋体" w:cs="宋体"/>
                <w:color w:val="000000"/>
                <w:sz w:val="21"/>
                <w:szCs w:val="21"/>
                <w:highlight w:val="none"/>
              </w:rPr>
              <w:t>硼硅玻璃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562" w:type="dxa"/>
            <w:vAlign w:val="center"/>
          </w:tcPr>
          <w:p>
            <w:pPr>
              <w:pStyle w:val="9"/>
              <w:widowControl/>
              <w:spacing w:beforeAutospacing="0" w:afterAutospacing="0" w:line="360" w:lineRule="auto"/>
              <w:jc w:val="center"/>
              <w:rPr>
                <w:rFonts w:ascii="宋体" w:hAnsi="宋体" w:cs="宋体"/>
                <w:color w:val="000000"/>
                <w:sz w:val="21"/>
                <w:szCs w:val="21"/>
                <w:highlight w:val="none"/>
              </w:rPr>
            </w:pPr>
            <w:r>
              <w:rPr>
                <w:rFonts w:hint="eastAsia" w:ascii="宋体" w:hAnsi="宋体" w:cs="宋体"/>
                <w:color w:val="000000"/>
                <w:sz w:val="21"/>
                <w:szCs w:val="21"/>
                <w:highlight w:val="none"/>
              </w:rPr>
              <w:t>主体</w:t>
            </w:r>
          </w:p>
        </w:tc>
        <w:tc>
          <w:tcPr>
            <w:tcW w:w="3401" w:type="dxa"/>
            <w:vAlign w:val="center"/>
          </w:tcPr>
          <w:p>
            <w:pPr>
              <w:pStyle w:val="9"/>
              <w:widowControl/>
              <w:spacing w:beforeAutospacing="0" w:afterAutospacing="0" w:line="360" w:lineRule="auto"/>
              <w:jc w:val="center"/>
              <w:rPr>
                <w:rFonts w:ascii="宋体" w:hAnsi="宋体" w:cs="宋体"/>
                <w:color w:val="000000"/>
                <w:sz w:val="21"/>
                <w:szCs w:val="21"/>
                <w:highlight w:val="none"/>
              </w:rPr>
            </w:pPr>
            <w:r>
              <w:rPr>
                <w:rFonts w:hint="eastAsia" w:ascii="宋体" w:hAnsi="宋体" w:cs="宋体"/>
                <w:color w:val="000000"/>
                <w:sz w:val="21"/>
                <w:szCs w:val="21"/>
                <w:highlight w:val="none"/>
              </w:rPr>
              <w:t>ETFE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562" w:type="dxa"/>
            <w:vAlign w:val="center"/>
          </w:tcPr>
          <w:p>
            <w:pPr>
              <w:pStyle w:val="9"/>
              <w:widowControl/>
              <w:spacing w:beforeAutospacing="0" w:afterAutospacing="0" w:line="360" w:lineRule="auto"/>
              <w:jc w:val="center"/>
              <w:rPr>
                <w:rFonts w:ascii="宋体" w:hAnsi="宋体" w:cs="宋体"/>
                <w:color w:val="000000"/>
                <w:sz w:val="21"/>
                <w:szCs w:val="21"/>
                <w:highlight w:val="none"/>
              </w:rPr>
            </w:pPr>
            <w:r>
              <w:rPr>
                <w:rFonts w:hint="eastAsia" w:ascii="宋体" w:hAnsi="宋体" w:cs="宋体"/>
                <w:color w:val="000000"/>
                <w:sz w:val="21"/>
                <w:szCs w:val="21"/>
                <w:highlight w:val="none"/>
              </w:rPr>
              <w:t>分液管</w:t>
            </w:r>
          </w:p>
        </w:tc>
        <w:tc>
          <w:tcPr>
            <w:tcW w:w="3401" w:type="dxa"/>
            <w:vAlign w:val="center"/>
          </w:tcPr>
          <w:p>
            <w:pPr>
              <w:pStyle w:val="9"/>
              <w:widowControl/>
              <w:spacing w:beforeAutospacing="0" w:afterAutospacing="0" w:line="360" w:lineRule="auto"/>
              <w:jc w:val="center"/>
              <w:rPr>
                <w:rFonts w:ascii="宋体" w:hAnsi="宋体" w:cs="宋体"/>
                <w:color w:val="000000"/>
                <w:sz w:val="21"/>
                <w:szCs w:val="21"/>
                <w:highlight w:val="none"/>
              </w:rPr>
            </w:pPr>
            <w:r>
              <w:rPr>
                <w:rFonts w:hint="eastAsia" w:ascii="宋体" w:hAnsi="宋体" w:cs="宋体"/>
                <w:color w:val="000000"/>
                <w:sz w:val="21"/>
                <w:szCs w:val="21"/>
                <w:highlight w:val="none"/>
              </w:rPr>
              <w:t>PTFE/ETFE</w:t>
            </w:r>
          </w:p>
        </w:tc>
      </w:tr>
    </w:tbl>
    <w:p>
      <w:pPr>
        <w:spacing w:line="360" w:lineRule="auto"/>
        <w:jc w:val="left"/>
        <w:rPr>
          <w:rFonts w:ascii="宋体" w:hAnsi="宋体" w:cs="宋体"/>
          <w:b/>
          <w:bCs/>
          <w:color w:val="000000" w:themeColor="text1"/>
          <w:sz w:val="21"/>
          <w:szCs w:val="21"/>
          <w:highlight w:val="none"/>
          <w:shd w:val="clear" w:color="auto" w:fill="FFFFFF"/>
          <w14:textFill>
            <w14:solidFill>
              <w14:schemeClr w14:val="tx1"/>
            </w14:solidFill>
          </w14:textFill>
        </w:rPr>
      </w:pPr>
    </w:p>
    <w:p>
      <w:pPr>
        <w:spacing w:line="360" w:lineRule="auto"/>
        <w:jc w:val="left"/>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b/>
          <w:bCs/>
          <w:color w:val="000000" w:themeColor="text1"/>
          <w:sz w:val="21"/>
          <w:szCs w:val="21"/>
          <w:highlight w:val="none"/>
          <w:shd w:val="clear" w:color="auto" w:fill="FFFFFF"/>
          <w14:textFill>
            <w14:solidFill>
              <w14:schemeClr w14:val="tx1"/>
            </w14:solidFill>
          </w14:textFill>
        </w:rPr>
        <w:t>3、容量范围1-10 mL：</w:t>
      </w:r>
      <w:r>
        <w:rPr>
          <w:rFonts w:hint="eastAsia" w:ascii="宋体" w:hAnsi="宋体" w:cs="宋体"/>
          <w:color w:val="000000" w:themeColor="text1"/>
          <w:sz w:val="21"/>
          <w:szCs w:val="21"/>
          <w:highlight w:val="none"/>
          <w:shd w:val="clear" w:color="auto" w:fill="FFFFFF"/>
          <w14:textFill>
            <w14:solidFill>
              <w14:schemeClr w14:val="tx1"/>
            </w14:solidFill>
          </w14:textFill>
        </w:rPr>
        <w:t>最小分度为0.25 mL，不准确度＜±0.6%；精确度＜±0.1%</w:t>
      </w:r>
    </w:p>
    <w:p>
      <w:pPr>
        <w:pStyle w:val="9"/>
        <w:spacing w:before="0" w:beforeAutospacing="0" w:after="0" w:afterAutospacing="0" w:line="360" w:lineRule="auto"/>
        <w:jc w:val="both"/>
        <w:rPr>
          <w:rFonts w:eastAsia="宋体"/>
          <w:color w:val="C00000"/>
          <w:sz w:val="21"/>
          <w:szCs w:val="21"/>
          <w:highlight w:val="none"/>
        </w:rPr>
      </w:pPr>
      <w:r>
        <w:rPr>
          <w:rFonts w:hint="eastAsia" w:ascii="宋体" w:hAnsi="宋体" w:cs="宋体"/>
          <w:b/>
          <w:bCs/>
          <w:color w:val="000000" w:themeColor="text1"/>
          <w:sz w:val="21"/>
          <w:szCs w:val="21"/>
          <w:highlight w:val="none"/>
          <w:shd w:val="clear" w:color="auto" w:fill="FFFFFF"/>
          <w14:textFill>
            <w14:solidFill>
              <w14:schemeClr w14:val="tx1"/>
            </w14:solidFill>
          </w14:textFill>
        </w:rPr>
        <w:t>4、121℃ 整支高压蒸汽灭菌</w:t>
      </w:r>
      <w:r>
        <w:rPr>
          <w:rFonts w:hint="eastAsia" w:ascii="宋体" w:hAnsi="宋体" w:cs="宋体"/>
          <w:color w:val="000000" w:themeColor="text1"/>
          <w:sz w:val="21"/>
          <w:szCs w:val="21"/>
          <w:highlight w:val="none"/>
          <w:shd w:val="clear" w:color="auto" w:fill="FFFFFF"/>
          <w14:textFill>
            <w14:solidFill>
              <w14:schemeClr w14:val="tx1"/>
            </w14:solidFill>
          </w14:textFill>
        </w:rPr>
        <w:t>：便于清洁。</w:t>
      </w:r>
      <w:r>
        <w:rPr>
          <w:rFonts w:hint="eastAsia" w:ascii="宋体" w:hAnsi="宋体" w:cs="宋体"/>
          <w:color w:val="000000" w:themeColor="text1"/>
          <w:sz w:val="21"/>
          <w:szCs w:val="21"/>
          <w:highlight w:val="none"/>
          <w:shd w:val="clear" w:color="auto" w:fill="FFFFFF"/>
          <w14:textFill>
            <w14:solidFill>
              <w14:schemeClr w14:val="tx1"/>
            </w14:solidFill>
          </w14:textFill>
        </w:rPr>
        <w:br w:type="textWrapping"/>
      </w:r>
      <w:r>
        <w:rPr>
          <w:rFonts w:hint="eastAsia" w:ascii="宋体" w:hAnsi="宋体" w:cs="宋体"/>
          <w:b/>
          <w:bCs/>
          <w:color w:val="000000"/>
          <w:sz w:val="21"/>
          <w:szCs w:val="21"/>
          <w:highlight w:val="none"/>
        </w:rPr>
        <w:t>*</w:t>
      </w:r>
      <w:r>
        <w:rPr>
          <w:rFonts w:hint="eastAsia" w:ascii="宋体" w:hAnsi="宋体" w:cs="宋体"/>
          <w:b/>
          <w:bCs/>
          <w:color w:val="000000" w:themeColor="text1"/>
          <w:sz w:val="21"/>
          <w:szCs w:val="21"/>
          <w:highlight w:val="none"/>
          <w:shd w:val="clear" w:color="auto" w:fill="FFFFFF"/>
          <w14:textFill>
            <w14:solidFill>
              <w14:schemeClr w14:val="tx1"/>
            </w14:solidFill>
          </w14:textFill>
        </w:rPr>
        <w:t>5、分液器上部360度自由旋转：</w:t>
      </w:r>
      <w:r>
        <w:rPr>
          <w:rFonts w:hint="eastAsia" w:ascii="宋体" w:hAnsi="宋体" w:cs="宋体"/>
          <w:color w:val="000000" w:themeColor="text1"/>
          <w:sz w:val="21"/>
          <w:szCs w:val="21"/>
          <w:highlight w:val="none"/>
          <w:shd w:val="clear" w:color="auto" w:fill="FFFFFF"/>
          <w14:textFill>
            <w14:solidFill>
              <w14:schemeClr w14:val="tx1"/>
            </w14:solidFill>
          </w14:textFill>
        </w:rPr>
        <w:t>确保标签和和显示窗面向使用者</w:t>
      </w:r>
      <w:r>
        <w:rPr>
          <w:rFonts w:eastAsia="宋体"/>
          <w:color w:val="C00000"/>
          <w:sz w:val="21"/>
          <w:szCs w:val="21"/>
          <w:highlight w:val="none"/>
        </w:rPr>
        <w:t>（需提供产品彩页或官方网站链接及截图等作为证明资料）</w:t>
      </w:r>
      <w:r>
        <w:rPr>
          <w:rFonts w:hint="eastAsia" w:eastAsia="宋体"/>
          <w:color w:val="C00000"/>
          <w:sz w:val="21"/>
          <w:szCs w:val="21"/>
          <w:highlight w:val="none"/>
        </w:rPr>
        <w:t>。</w:t>
      </w:r>
    </w:p>
    <w:p>
      <w:pPr>
        <w:pStyle w:val="9"/>
        <w:spacing w:before="0" w:beforeAutospacing="0" w:after="0" w:afterAutospacing="0" w:line="360" w:lineRule="auto"/>
        <w:jc w:val="both"/>
        <w:rPr>
          <w:rFonts w:eastAsia="宋体"/>
          <w:color w:val="C00000"/>
          <w:sz w:val="21"/>
          <w:szCs w:val="21"/>
          <w:highlight w:val="none"/>
        </w:rPr>
      </w:pPr>
      <w:r>
        <w:rPr>
          <w:rFonts w:hint="eastAsia"/>
          <w:b/>
          <w:bCs/>
          <w:sz w:val="21"/>
          <w:szCs w:val="21"/>
          <w:highlight w:val="none"/>
        </w:rPr>
        <w:t>▲</w:t>
      </w:r>
      <w:r>
        <w:rPr>
          <w:rFonts w:hint="eastAsia" w:ascii="宋体" w:hAnsi="宋体" w:cs="宋体"/>
          <w:b/>
          <w:bCs/>
          <w:color w:val="000000" w:themeColor="text1"/>
          <w:sz w:val="21"/>
          <w:szCs w:val="21"/>
          <w:highlight w:val="none"/>
          <w:shd w:val="clear" w:color="auto" w:fill="FFFFFF"/>
          <w14:textFill>
            <w14:solidFill>
              <w14:schemeClr w14:val="tx1"/>
            </w14:solidFill>
          </w14:textFill>
        </w:rPr>
        <w:t>6、数字式容量设定：</w:t>
      </w:r>
      <w:r>
        <w:rPr>
          <w:rFonts w:hint="eastAsia" w:ascii="宋体" w:hAnsi="宋体" w:cs="宋体"/>
          <w:color w:val="000000" w:themeColor="text1"/>
          <w:sz w:val="21"/>
          <w:szCs w:val="21"/>
          <w:highlight w:val="none"/>
          <w:shd w:val="clear" w:color="auto" w:fill="FFFFFF"/>
          <w14:textFill>
            <w14:solidFill>
              <w14:schemeClr w14:val="tx1"/>
            </w14:solidFill>
          </w14:textFill>
        </w:rPr>
        <w:t>清楚易读的显示窗可调节至所需角度</w:t>
      </w:r>
      <w:r>
        <w:rPr>
          <w:rFonts w:eastAsia="宋体"/>
          <w:color w:val="C00000"/>
          <w:sz w:val="21"/>
          <w:szCs w:val="21"/>
          <w:highlight w:val="none"/>
        </w:rPr>
        <w:t>（需提供产品彩页或官方网站链接及截图等作为证明资料）</w:t>
      </w:r>
      <w:r>
        <w:rPr>
          <w:rFonts w:hint="eastAsia" w:eastAsia="宋体"/>
          <w:color w:val="C00000"/>
          <w:sz w:val="21"/>
          <w:szCs w:val="21"/>
          <w:highlight w:val="none"/>
        </w:rPr>
        <w:t>。</w:t>
      </w:r>
    </w:p>
    <w:p>
      <w:pPr>
        <w:spacing w:line="360" w:lineRule="auto"/>
        <w:jc w:val="left"/>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b/>
          <w:bCs/>
          <w:color w:val="000000" w:themeColor="text1"/>
          <w:sz w:val="21"/>
          <w:szCs w:val="21"/>
          <w:highlight w:val="none"/>
          <w:shd w:val="clear" w:color="auto" w:fill="FFFFFF"/>
          <w14:textFill>
            <w14:solidFill>
              <w14:schemeClr w14:val="tx1"/>
            </w14:solidFill>
          </w14:textFill>
        </w:rPr>
        <w:t>7</w:t>
      </w:r>
      <w:r>
        <w:rPr>
          <w:rFonts w:hint="eastAsia" w:ascii="宋体" w:hAnsi="宋体" w:cs="宋体"/>
          <w:color w:val="000000" w:themeColor="text1"/>
          <w:sz w:val="21"/>
          <w:szCs w:val="21"/>
          <w:highlight w:val="none"/>
          <w:shd w:val="clear" w:color="auto" w:fill="FFFFFF"/>
          <w14:textFill>
            <w14:solidFill>
              <w14:schemeClr w14:val="tx1"/>
            </w14:solidFill>
          </w14:textFill>
        </w:rPr>
        <w:t>、</w:t>
      </w:r>
      <w:r>
        <w:rPr>
          <w:rFonts w:hint="eastAsia" w:ascii="宋体" w:hAnsi="宋体" w:cs="宋体"/>
          <w:b/>
          <w:bCs/>
          <w:color w:val="000000" w:themeColor="text1"/>
          <w:sz w:val="21"/>
          <w:szCs w:val="21"/>
          <w:highlight w:val="none"/>
          <w:shd w:val="clear" w:color="auto" w:fill="FFFFFF"/>
          <w14:textFill>
            <w14:solidFill>
              <w14:schemeClr w14:val="tx1"/>
            </w14:solidFill>
          </w14:textFill>
        </w:rPr>
        <w:t>可在分配器入口加装过滤器：</w:t>
      </w:r>
      <w:r>
        <w:rPr>
          <w:rFonts w:hint="eastAsia" w:ascii="宋体" w:hAnsi="宋体" w:cs="宋体"/>
          <w:color w:val="000000" w:themeColor="text1"/>
          <w:sz w:val="21"/>
          <w:szCs w:val="21"/>
          <w:highlight w:val="none"/>
          <w:shd w:val="clear" w:color="auto" w:fill="FFFFFF"/>
          <w14:textFill>
            <w14:solidFill>
              <w14:schemeClr w14:val="tx1"/>
            </w14:solidFill>
          </w14:textFill>
        </w:rPr>
        <w:t>以除去空气中的污染物。</w:t>
      </w:r>
      <w:r>
        <w:rPr>
          <w:rFonts w:hint="eastAsia" w:ascii="宋体" w:hAnsi="宋体" w:cs="宋体"/>
          <w:color w:val="000000" w:themeColor="text1"/>
          <w:sz w:val="21"/>
          <w:szCs w:val="21"/>
          <w:highlight w:val="none"/>
          <w:shd w:val="clear" w:color="auto" w:fill="FFFFFF"/>
          <w14:textFill>
            <w14:solidFill>
              <w14:schemeClr w14:val="tx1"/>
            </w14:solidFill>
          </w14:textFill>
        </w:rPr>
        <w:br w:type="textWrapping"/>
      </w:r>
      <w:r>
        <w:rPr>
          <w:rFonts w:hint="eastAsia" w:ascii="宋体" w:hAnsi="宋体" w:cs="宋体"/>
          <w:b/>
          <w:bCs/>
          <w:color w:val="000000" w:themeColor="text1"/>
          <w:sz w:val="21"/>
          <w:szCs w:val="21"/>
          <w:highlight w:val="none"/>
          <w:shd w:val="clear" w:color="auto" w:fill="FFFFFF"/>
          <w14:textFill>
            <w14:solidFill>
              <w14:schemeClr w14:val="tx1"/>
            </w14:solidFill>
          </w14:textFill>
        </w:rPr>
        <w:t>8、可以使用选配的PTFE延长管及液体喷嘴：</w:t>
      </w:r>
      <w:r>
        <w:rPr>
          <w:rFonts w:hint="eastAsia" w:ascii="宋体" w:hAnsi="宋体" w:cs="宋体"/>
          <w:color w:val="000000" w:themeColor="text1"/>
          <w:sz w:val="21"/>
          <w:szCs w:val="21"/>
          <w:highlight w:val="none"/>
          <w:shd w:val="clear" w:color="auto" w:fill="FFFFFF"/>
          <w14:textFill>
            <w14:solidFill>
              <w14:schemeClr w14:val="tx1"/>
            </w14:solidFill>
          </w14:textFill>
        </w:rPr>
        <w:t>将液体准确分注到远离分配器60cm的接收瓶。</w:t>
      </w:r>
    </w:p>
    <w:p>
      <w:pPr>
        <w:pStyle w:val="11"/>
        <w:ind w:firstLine="0" w:firstLineChars="0"/>
        <w:rPr>
          <w:rFonts w:ascii="宋体" w:hAnsi="宋体" w:cs="宋体"/>
          <w:color w:val="000000" w:themeColor="text1"/>
          <w:sz w:val="21"/>
          <w:szCs w:val="21"/>
          <w:highlight w:val="none"/>
          <w:shd w:val="clear" w:color="auto" w:fill="FFFFFF"/>
          <w14:textFill>
            <w14:solidFill>
              <w14:schemeClr w14:val="tx1"/>
            </w14:solidFill>
          </w14:textFill>
        </w:rPr>
      </w:pPr>
    </w:p>
    <w:p>
      <w:pPr>
        <w:numPr>
          <w:ilvl w:val="0"/>
          <w:numId w:val="6"/>
        </w:numPr>
        <w:tabs>
          <w:tab w:val="left" w:pos="420"/>
        </w:tabs>
        <w:spacing w:line="360" w:lineRule="auto"/>
        <w:jc w:val="left"/>
        <w:rPr>
          <w:rFonts w:ascii="宋体" w:hAnsi="宋体" w:cs="宋体"/>
          <w:b/>
          <w:bCs/>
          <w:sz w:val="21"/>
          <w:szCs w:val="21"/>
          <w:highlight w:val="none"/>
          <w:lang w:val="zh-CN"/>
        </w:rPr>
      </w:pPr>
      <w:r>
        <w:rPr>
          <w:rFonts w:hint="eastAsia" w:ascii="宋体" w:hAnsi="宋体" w:cs="宋体"/>
          <w:b/>
          <w:bCs/>
          <w:sz w:val="21"/>
          <w:szCs w:val="21"/>
          <w:highlight w:val="none"/>
          <w:lang w:val="zh-CN"/>
        </w:rPr>
        <w:t>天平减震台</w:t>
      </w:r>
    </w:p>
    <w:p>
      <w:pPr>
        <w:pStyle w:val="5"/>
        <w:spacing w:line="360" w:lineRule="auto"/>
        <w:ind w:left="0" w:leftChars="0"/>
        <w:rPr>
          <w:rFonts w:ascii="宋体" w:hAnsi="宋体" w:cs="宋体"/>
          <w:color w:val="000000"/>
          <w:sz w:val="21"/>
          <w:szCs w:val="21"/>
          <w:highlight w:val="none"/>
        </w:rPr>
      </w:pPr>
      <w:r>
        <w:rPr>
          <w:rFonts w:hint="eastAsia" w:ascii="宋体" w:hAnsi="宋体" w:cs="宋体"/>
          <w:b/>
          <w:bCs/>
          <w:sz w:val="21"/>
          <w:szCs w:val="21"/>
          <w:highlight w:val="none"/>
        </w:rPr>
        <w:t>配置要求：</w:t>
      </w:r>
    </w:p>
    <w:tbl>
      <w:tblPr>
        <w:tblStyle w:val="12"/>
        <w:tblpPr w:leftFromText="180" w:rightFromText="180" w:vertAnchor="text" w:horzAnchor="margin" w:tblpY="50"/>
        <w:tblW w:w="8947" w:type="dxa"/>
        <w:tblInd w:w="0" w:type="dxa"/>
        <w:tblLayout w:type="autofit"/>
        <w:tblCellMar>
          <w:top w:w="0" w:type="dxa"/>
          <w:left w:w="108" w:type="dxa"/>
          <w:bottom w:w="0" w:type="dxa"/>
          <w:right w:w="108" w:type="dxa"/>
        </w:tblCellMar>
      </w:tblPr>
      <w:tblGrid>
        <w:gridCol w:w="998"/>
        <w:gridCol w:w="6237"/>
        <w:gridCol w:w="1712"/>
      </w:tblGrid>
      <w:tr>
        <w:tblPrEx>
          <w:tblCellMar>
            <w:top w:w="0" w:type="dxa"/>
            <w:left w:w="108" w:type="dxa"/>
            <w:bottom w:w="0" w:type="dxa"/>
            <w:right w:w="108" w:type="dxa"/>
          </w:tblCellMar>
        </w:tblPrEx>
        <w:trPr>
          <w:trHeight w:val="300"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sz w:val="21"/>
                <w:szCs w:val="21"/>
                <w:highlight w:val="none"/>
              </w:rPr>
            </w:pPr>
            <w:r>
              <w:rPr>
                <w:rFonts w:hint="eastAsia" w:ascii="宋体" w:hAnsi="宋体" w:cs="宋体"/>
                <w:sz w:val="21"/>
                <w:szCs w:val="21"/>
                <w:highlight w:val="none"/>
              </w:rPr>
              <w:t>序列</w:t>
            </w:r>
          </w:p>
        </w:tc>
        <w:tc>
          <w:tcPr>
            <w:tcW w:w="6237"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360" w:lineRule="auto"/>
              <w:jc w:val="center"/>
              <w:rPr>
                <w:rFonts w:ascii="宋体" w:hAnsi="宋体" w:cs="宋体"/>
                <w:sz w:val="21"/>
                <w:szCs w:val="21"/>
                <w:highlight w:val="none"/>
              </w:rPr>
            </w:pPr>
            <w:r>
              <w:rPr>
                <w:rFonts w:hint="eastAsia" w:ascii="宋体" w:hAnsi="宋体" w:cs="宋体"/>
                <w:sz w:val="21"/>
                <w:szCs w:val="21"/>
                <w:highlight w:val="none"/>
              </w:rPr>
              <w:t>名称</w:t>
            </w:r>
          </w:p>
        </w:tc>
        <w:tc>
          <w:tcPr>
            <w:tcW w:w="1712"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360" w:lineRule="auto"/>
              <w:jc w:val="center"/>
              <w:rPr>
                <w:rFonts w:ascii="宋体" w:hAnsi="宋体" w:cs="宋体"/>
                <w:sz w:val="21"/>
                <w:szCs w:val="21"/>
                <w:highlight w:val="none"/>
              </w:rPr>
            </w:pPr>
            <w:r>
              <w:rPr>
                <w:rFonts w:hint="eastAsia" w:ascii="宋体" w:hAnsi="宋体" w:cs="宋体"/>
                <w:sz w:val="21"/>
                <w:szCs w:val="21"/>
                <w:highlight w:val="none"/>
              </w:rPr>
              <w:t>数量</w:t>
            </w:r>
          </w:p>
        </w:tc>
      </w:tr>
      <w:tr>
        <w:tblPrEx>
          <w:tblCellMar>
            <w:top w:w="0" w:type="dxa"/>
            <w:left w:w="108" w:type="dxa"/>
            <w:bottom w:w="0" w:type="dxa"/>
            <w:right w:w="108" w:type="dxa"/>
          </w:tblCellMar>
        </w:tblPrEx>
        <w:trPr>
          <w:trHeight w:val="300"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sz w:val="21"/>
                <w:szCs w:val="21"/>
                <w:highlight w:val="none"/>
              </w:rPr>
            </w:pPr>
            <w:r>
              <w:rPr>
                <w:rFonts w:hint="eastAsia" w:ascii="宋体" w:hAnsi="宋体" w:cs="宋体"/>
                <w:sz w:val="21"/>
                <w:szCs w:val="21"/>
                <w:highlight w:val="none"/>
              </w:rPr>
              <w:t>1</w:t>
            </w:r>
          </w:p>
        </w:tc>
        <w:tc>
          <w:tcPr>
            <w:tcW w:w="6237"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360" w:lineRule="auto"/>
              <w:jc w:val="left"/>
              <w:rPr>
                <w:rFonts w:ascii="宋体" w:hAnsi="宋体" w:cs="宋体"/>
                <w:sz w:val="21"/>
                <w:szCs w:val="21"/>
                <w:highlight w:val="none"/>
              </w:rPr>
            </w:pPr>
            <w:r>
              <w:rPr>
                <w:rFonts w:hint="eastAsia" w:ascii="宋体" w:hAnsi="宋体" w:cs="宋体"/>
                <w:sz w:val="21"/>
                <w:szCs w:val="21"/>
                <w:highlight w:val="none"/>
              </w:rPr>
              <w:t>天平减震台</w:t>
            </w:r>
          </w:p>
        </w:tc>
        <w:tc>
          <w:tcPr>
            <w:tcW w:w="1712"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360" w:lineRule="auto"/>
              <w:jc w:val="center"/>
              <w:rPr>
                <w:rFonts w:ascii="宋体" w:hAnsi="宋体" w:cs="宋体"/>
                <w:sz w:val="21"/>
                <w:szCs w:val="21"/>
                <w:highlight w:val="none"/>
              </w:rPr>
            </w:pPr>
            <w:r>
              <w:rPr>
                <w:rFonts w:hint="eastAsia" w:ascii="宋体" w:hAnsi="宋体" w:cs="宋体"/>
                <w:sz w:val="21"/>
                <w:szCs w:val="21"/>
                <w:highlight w:val="none"/>
              </w:rPr>
              <w:t>6台</w:t>
            </w:r>
          </w:p>
        </w:tc>
      </w:tr>
      <w:tr>
        <w:tblPrEx>
          <w:tblCellMar>
            <w:top w:w="0" w:type="dxa"/>
            <w:left w:w="108" w:type="dxa"/>
            <w:bottom w:w="0" w:type="dxa"/>
            <w:right w:w="108" w:type="dxa"/>
          </w:tblCellMar>
        </w:tblPrEx>
        <w:trPr>
          <w:trHeight w:val="248" w:hRule="atLeast"/>
        </w:trPr>
        <w:tc>
          <w:tcPr>
            <w:tcW w:w="998"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1"/>
                <w:szCs w:val="21"/>
                <w:highlight w:val="none"/>
              </w:rPr>
            </w:pPr>
            <w:r>
              <w:rPr>
                <w:rFonts w:hint="eastAsia" w:ascii="宋体" w:hAnsi="宋体" w:cs="宋体"/>
                <w:sz w:val="21"/>
                <w:szCs w:val="21"/>
                <w:highlight w:val="none"/>
              </w:rPr>
              <w:t>2</w:t>
            </w:r>
          </w:p>
        </w:tc>
        <w:tc>
          <w:tcPr>
            <w:tcW w:w="6237" w:type="dxa"/>
            <w:tcBorders>
              <w:top w:val="single" w:color="auto" w:sz="4" w:space="0"/>
              <w:left w:val="nil"/>
              <w:right w:val="nil"/>
            </w:tcBorders>
            <w:shd w:val="clear" w:color="auto" w:fill="auto"/>
            <w:noWrap/>
            <w:vAlign w:val="bottom"/>
          </w:tcPr>
          <w:p>
            <w:pPr>
              <w:spacing w:line="360" w:lineRule="auto"/>
              <w:jc w:val="left"/>
              <w:rPr>
                <w:rFonts w:ascii="宋体" w:hAnsi="宋体" w:cs="宋体"/>
                <w:sz w:val="21"/>
                <w:szCs w:val="21"/>
                <w:highlight w:val="none"/>
              </w:rPr>
            </w:pPr>
            <w:r>
              <w:rPr>
                <w:rFonts w:hint="eastAsia" w:ascii="宋体" w:hAnsi="宋体" w:cs="宋体"/>
                <w:sz w:val="21"/>
                <w:szCs w:val="21"/>
                <w:highlight w:val="none"/>
              </w:rPr>
              <w:t>含抽屉各2个</w:t>
            </w:r>
          </w:p>
        </w:tc>
        <w:tc>
          <w:tcPr>
            <w:tcW w:w="1712" w:type="dxa"/>
            <w:tcBorders>
              <w:top w:val="single" w:color="auto" w:sz="4" w:space="0"/>
              <w:left w:val="single" w:color="auto" w:sz="4" w:space="0"/>
              <w:right w:val="single" w:color="auto" w:sz="4" w:space="0"/>
            </w:tcBorders>
            <w:shd w:val="clear" w:color="auto" w:fill="auto"/>
            <w:noWrap/>
          </w:tcPr>
          <w:p>
            <w:pPr>
              <w:spacing w:line="360" w:lineRule="auto"/>
              <w:jc w:val="center"/>
              <w:rPr>
                <w:rFonts w:ascii="宋体" w:hAnsi="宋体" w:cs="宋体"/>
                <w:sz w:val="21"/>
                <w:szCs w:val="21"/>
                <w:highlight w:val="none"/>
              </w:rPr>
            </w:pPr>
            <w:r>
              <w:rPr>
                <w:rFonts w:hint="eastAsia" w:ascii="宋体" w:hAnsi="宋体" w:cs="宋体"/>
                <w:sz w:val="21"/>
                <w:szCs w:val="21"/>
                <w:highlight w:val="none"/>
              </w:rPr>
              <w:t>12个</w:t>
            </w:r>
          </w:p>
        </w:tc>
      </w:tr>
      <w:tr>
        <w:tblPrEx>
          <w:tblCellMar>
            <w:top w:w="0" w:type="dxa"/>
            <w:left w:w="108" w:type="dxa"/>
            <w:bottom w:w="0" w:type="dxa"/>
            <w:right w:w="108" w:type="dxa"/>
          </w:tblCellMar>
        </w:tblPrEx>
        <w:trPr>
          <w:trHeight w:val="300"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sz w:val="21"/>
                <w:szCs w:val="21"/>
                <w:highlight w:val="none"/>
              </w:rPr>
            </w:pPr>
            <w:r>
              <w:rPr>
                <w:rFonts w:hint="eastAsia" w:ascii="宋体" w:hAnsi="宋体" w:cs="宋体"/>
                <w:sz w:val="21"/>
                <w:szCs w:val="21"/>
                <w:highlight w:val="none"/>
              </w:rPr>
              <w:t>3</w:t>
            </w:r>
          </w:p>
        </w:tc>
        <w:tc>
          <w:tcPr>
            <w:tcW w:w="6237"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360" w:lineRule="auto"/>
              <w:jc w:val="left"/>
              <w:rPr>
                <w:rFonts w:ascii="宋体" w:hAnsi="宋体" w:cs="宋体"/>
                <w:sz w:val="21"/>
                <w:szCs w:val="21"/>
                <w:highlight w:val="none"/>
              </w:rPr>
            </w:pPr>
            <w:r>
              <w:rPr>
                <w:rFonts w:hint="eastAsia" w:ascii="宋体" w:hAnsi="宋体" w:cs="宋体"/>
                <w:sz w:val="21"/>
                <w:szCs w:val="21"/>
                <w:highlight w:val="none"/>
              </w:rPr>
              <w:t>含10A多功能防溅插座各2个</w:t>
            </w:r>
          </w:p>
        </w:tc>
        <w:tc>
          <w:tcPr>
            <w:tcW w:w="1712"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360" w:lineRule="auto"/>
              <w:jc w:val="center"/>
              <w:rPr>
                <w:rFonts w:ascii="宋体" w:hAnsi="宋体" w:cs="宋体"/>
                <w:sz w:val="21"/>
                <w:szCs w:val="21"/>
                <w:highlight w:val="none"/>
              </w:rPr>
            </w:pPr>
            <w:r>
              <w:rPr>
                <w:rFonts w:hint="eastAsia" w:ascii="宋体" w:hAnsi="宋体" w:cs="宋体"/>
                <w:sz w:val="21"/>
                <w:szCs w:val="21"/>
                <w:highlight w:val="none"/>
              </w:rPr>
              <w:t>12个</w:t>
            </w:r>
          </w:p>
        </w:tc>
      </w:tr>
    </w:tbl>
    <w:p>
      <w:pPr>
        <w:autoSpaceDE w:val="0"/>
        <w:autoSpaceDN w:val="0"/>
        <w:adjustRightInd w:val="0"/>
        <w:spacing w:line="360" w:lineRule="auto"/>
        <w:rPr>
          <w:rFonts w:ascii="宋体" w:hAnsi="宋体" w:cs="宋体"/>
          <w:b/>
          <w:color w:val="C00000"/>
          <w:sz w:val="21"/>
          <w:szCs w:val="21"/>
          <w:highlight w:val="none"/>
        </w:rPr>
      </w:pPr>
      <w:r>
        <w:rPr>
          <w:rFonts w:hint="eastAsia" w:ascii="宋体" w:hAnsi="宋体" w:cs="宋体"/>
          <w:b/>
          <w:bCs/>
          <w:sz w:val="21"/>
          <w:szCs w:val="21"/>
          <w:highlight w:val="none"/>
        </w:rPr>
        <w:t>技术指标</w:t>
      </w:r>
    </w:p>
    <w:p>
      <w:pPr>
        <w:spacing w:line="360" w:lineRule="auto"/>
        <w:rPr>
          <w:rFonts w:ascii="宋体" w:hAnsi="宋体" w:cs="宋体"/>
          <w:sz w:val="21"/>
          <w:szCs w:val="21"/>
          <w:highlight w:val="none"/>
        </w:rPr>
      </w:pPr>
      <w:r>
        <w:rPr>
          <w:rFonts w:hint="eastAsia" w:ascii="宋体" w:hAnsi="宋体" w:cs="宋体"/>
          <w:b/>
          <w:bCs/>
          <w:sz w:val="21"/>
          <w:szCs w:val="21"/>
          <w:highlight w:val="none"/>
        </w:rPr>
        <w:t>1、天平台外观尺寸(mm)：</w:t>
      </w:r>
      <w:r>
        <w:rPr>
          <w:rFonts w:hint="eastAsia" w:ascii="宋体" w:hAnsi="宋体" w:cs="宋体"/>
          <w:sz w:val="21"/>
          <w:szCs w:val="21"/>
          <w:highlight w:val="none"/>
        </w:rPr>
        <w:t xml:space="preserve">长≥1200* 宽≥750*高≥800； </w:t>
      </w:r>
    </w:p>
    <w:p>
      <w:pPr>
        <w:pStyle w:val="9"/>
        <w:spacing w:before="0" w:beforeAutospacing="0" w:after="0" w:afterAutospacing="0" w:line="360" w:lineRule="auto"/>
        <w:jc w:val="both"/>
        <w:rPr>
          <w:rFonts w:ascii="宋体" w:hAnsi="宋体" w:cs="宋体"/>
          <w:sz w:val="21"/>
          <w:szCs w:val="21"/>
          <w:highlight w:val="none"/>
        </w:rPr>
      </w:pPr>
      <w:r>
        <w:rPr>
          <w:rFonts w:hint="eastAsia" w:ascii="宋体" w:hAnsi="宋体" w:cs="宋体"/>
          <w:b/>
          <w:sz w:val="21"/>
          <w:szCs w:val="21"/>
          <w:highlight w:val="none"/>
        </w:rPr>
        <w:t>▲2、放置双天平的台面</w:t>
      </w:r>
      <w:r>
        <w:rPr>
          <w:rFonts w:hint="eastAsia" w:ascii="宋体" w:hAnsi="宋体" w:cs="宋体"/>
          <w:sz w:val="21"/>
          <w:szCs w:val="21"/>
          <w:highlight w:val="none"/>
        </w:rPr>
        <w:t>：可同时放置两台万分之一天平，放置天平部分的花岗岩台面（长≥300mm;宽≥400mm ;厚≥60mm），左（右）侧花岗岩台面距离桌面左（右）侧边缘</w:t>
      </w:r>
      <w:r>
        <w:rPr>
          <w:rFonts w:hint="eastAsia" w:ascii="宋体" w:hAnsi="宋体" w:cs="宋体"/>
          <w:sz w:val="21"/>
          <w:szCs w:val="21"/>
          <w:highlight w:val="none"/>
          <w:lang w:eastAsia="zh-CN"/>
        </w:rPr>
        <w:t>≤</w:t>
      </w:r>
      <w:r>
        <w:rPr>
          <w:rFonts w:hint="eastAsia" w:ascii="宋体" w:hAnsi="宋体" w:cs="宋体"/>
          <w:sz w:val="21"/>
          <w:szCs w:val="21"/>
          <w:highlight w:val="none"/>
        </w:rPr>
        <w:t>150mm，后侧宽度</w:t>
      </w:r>
      <w:r>
        <w:rPr>
          <w:rFonts w:hint="eastAsia" w:ascii="宋体" w:hAnsi="宋体" w:cs="宋体"/>
          <w:sz w:val="21"/>
          <w:szCs w:val="21"/>
          <w:highlight w:val="none"/>
          <w:lang w:eastAsia="zh-CN"/>
        </w:rPr>
        <w:t>≤</w:t>
      </w:r>
      <w:r>
        <w:rPr>
          <w:rFonts w:hint="eastAsia" w:ascii="宋体" w:hAnsi="宋体" w:cs="宋体"/>
          <w:sz w:val="21"/>
          <w:szCs w:val="21"/>
          <w:highlight w:val="none"/>
        </w:rPr>
        <w:t>100mm，其他为实芯理化板（厚度≥12.7mm）</w:t>
      </w:r>
      <w:r>
        <w:rPr>
          <w:rFonts w:eastAsia="宋体"/>
          <w:color w:val="C00000"/>
          <w:sz w:val="21"/>
          <w:szCs w:val="21"/>
          <w:highlight w:val="none"/>
        </w:rPr>
        <w:t>（需提供产品彩页或官方网站链接及截图等作为证明资料）</w:t>
      </w:r>
      <w:r>
        <w:rPr>
          <w:rFonts w:hint="eastAsia" w:eastAsia="宋体"/>
          <w:color w:val="C00000"/>
          <w:sz w:val="21"/>
          <w:szCs w:val="21"/>
          <w:highlight w:val="none"/>
        </w:rPr>
        <w:t>。</w:t>
      </w:r>
    </w:p>
    <w:p>
      <w:pPr>
        <w:spacing w:line="360" w:lineRule="auto"/>
        <w:ind w:firstLine="103" w:firstLineChars="49"/>
        <w:rPr>
          <w:rFonts w:ascii="宋体" w:hAnsi="宋体" w:cs="宋体"/>
          <w:sz w:val="21"/>
          <w:szCs w:val="21"/>
          <w:highlight w:val="none"/>
        </w:rPr>
      </w:pPr>
      <w:r>
        <w:rPr>
          <w:rFonts w:hint="eastAsia" w:ascii="宋体" w:hAnsi="宋体" w:cs="宋体"/>
          <w:b/>
          <w:sz w:val="21"/>
          <w:szCs w:val="21"/>
          <w:highlight w:val="none"/>
        </w:rPr>
        <w:t>3、耐腐蚀柜体：</w:t>
      </w:r>
      <w:r>
        <w:rPr>
          <w:rFonts w:hint="eastAsia" w:ascii="宋体" w:hAnsi="宋体" w:cs="宋体"/>
          <w:sz w:val="21"/>
          <w:szCs w:val="21"/>
          <w:highlight w:val="none"/>
        </w:rPr>
        <w:t>镀锌钢板（厚度≥1mm），表层为纯环氧树脂固化，内置减震装置。</w:t>
      </w:r>
    </w:p>
    <w:p>
      <w:pPr>
        <w:spacing w:line="360" w:lineRule="auto"/>
        <w:rPr>
          <w:rFonts w:ascii="宋体" w:hAnsi="宋体" w:cs="宋体"/>
          <w:color w:val="C00000"/>
          <w:sz w:val="21"/>
          <w:szCs w:val="21"/>
          <w:highlight w:val="none"/>
        </w:rPr>
      </w:pPr>
      <w:r>
        <w:rPr>
          <w:rFonts w:hint="eastAsia" w:ascii="宋体" w:hAnsi="宋体" w:cs="宋体"/>
          <w:b/>
          <w:sz w:val="21"/>
          <w:szCs w:val="21"/>
          <w:highlight w:val="none"/>
        </w:rPr>
        <w:t>*4、配备三级避震装置</w:t>
      </w:r>
      <w:r>
        <w:rPr>
          <w:rFonts w:hint="eastAsia" w:ascii="宋体" w:hAnsi="宋体" w:cs="宋体"/>
          <w:b/>
          <w:color w:val="C00000"/>
          <w:sz w:val="21"/>
          <w:szCs w:val="21"/>
          <w:highlight w:val="none"/>
        </w:rPr>
        <w:t>（</w:t>
      </w:r>
      <w:r>
        <w:rPr>
          <w:rFonts w:hint="eastAsia" w:ascii="宋体" w:hAnsi="宋体" w:cs="宋体"/>
          <w:bCs/>
          <w:color w:val="C00000"/>
          <w:sz w:val="21"/>
          <w:szCs w:val="21"/>
          <w:highlight w:val="none"/>
        </w:rPr>
        <w:t>需提供产品彩页或官方网站链接及截图等作为证明资料</w:t>
      </w:r>
      <w:r>
        <w:rPr>
          <w:rFonts w:hint="eastAsia" w:ascii="宋体" w:hAnsi="宋体" w:cs="宋体"/>
          <w:color w:val="C00000"/>
          <w:sz w:val="21"/>
          <w:szCs w:val="21"/>
          <w:highlight w:val="none"/>
        </w:rPr>
        <w:t>）。</w:t>
      </w:r>
    </w:p>
    <w:p>
      <w:pPr>
        <w:spacing w:line="360" w:lineRule="auto"/>
        <w:rPr>
          <w:rFonts w:ascii="宋体" w:hAnsi="宋体" w:cs="宋体"/>
          <w:sz w:val="21"/>
          <w:szCs w:val="21"/>
          <w:highlight w:val="none"/>
        </w:rPr>
      </w:pPr>
      <w:r>
        <w:rPr>
          <w:rFonts w:hint="eastAsia" w:ascii="宋体" w:hAnsi="宋体" w:cs="宋体"/>
          <w:sz w:val="21"/>
          <w:szCs w:val="21"/>
          <w:highlight w:val="none"/>
        </w:rPr>
        <w:t>①独立厚花岗岩台面（≥60mm）；</w:t>
      </w:r>
    </w:p>
    <w:p>
      <w:pPr>
        <w:spacing w:line="360" w:lineRule="auto"/>
        <w:rPr>
          <w:rFonts w:ascii="宋体" w:hAnsi="宋体" w:cs="宋体"/>
          <w:sz w:val="21"/>
          <w:szCs w:val="21"/>
          <w:highlight w:val="none"/>
        </w:rPr>
      </w:pPr>
      <w:r>
        <w:rPr>
          <w:rFonts w:hint="eastAsia" w:ascii="宋体" w:hAnsi="宋体" w:cs="宋体"/>
          <w:sz w:val="21"/>
          <w:szCs w:val="21"/>
          <w:highlight w:val="none"/>
        </w:rPr>
        <w:t>②包含85度避震橡胶调节垫，防震调节螺丝，消去环境中18-32Hz震动；</w:t>
      </w:r>
    </w:p>
    <w:p>
      <w:pPr>
        <w:spacing w:line="360" w:lineRule="auto"/>
        <w:rPr>
          <w:rFonts w:ascii="宋体" w:hAnsi="宋体" w:cs="宋体"/>
          <w:sz w:val="21"/>
          <w:szCs w:val="21"/>
          <w:highlight w:val="none"/>
        </w:rPr>
      </w:pPr>
      <w:r>
        <w:rPr>
          <w:rFonts w:hint="eastAsia" w:ascii="宋体" w:hAnsi="宋体" w:cs="宋体"/>
          <w:sz w:val="21"/>
          <w:szCs w:val="21"/>
          <w:highlight w:val="none"/>
        </w:rPr>
        <w:t>③4个防震胶垫。</w:t>
      </w:r>
    </w:p>
    <w:p>
      <w:pPr>
        <w:numPr>
          <w:ilvl w:val="0"/>
          <w:numId w:val="6"/>
        </w:numPr>
        <w:tabs>
          <w:tab w:val="left" w:pos="420"/>
        </w:tabs>
        <w:spacing w:line="360" w:lineRule="auto"/>
        <w:jc w:val="left"/>
        <w:rPr>
          <w:rFonts w:ascii="宋体" w:hAnsi="宋体" w:cs="宋体"/>
          <w:b/>
          <w:bCs/>
          <w:sz w:val="21"/>
          <w:szCs w:val="21"/>
        </w:rPr>
      </w:pPr>
      <w:r>
        <w:rPr>
          <w:rFonts w:hint="eastAsia" w:ascii="宋体" w:hAnsi="宋体" w:cs="宋体"/>
          <w:b/>
          <w:bCs/>
          <w:sz w:val="21"/>
          <w:szCs w:val="21"/>
        </w:rPr>
        <w:t>消解</w:t>
      </w:r>
      <w:r>
        <w:rPr>
          <w:rFonts w:hint="eastAsia" w:ascii="宋体" w:hAnsi="宋体" w:cs="宋体"/>
          <w:b/>
          <w:bCs/>
          <w:sz w:val="21"/>
          <w:szCs w:val="21"/>
          <w:lang w:val="zh-CN"/>
        </w:rPr>
        <w:t>仪</w:t>
      </w:r>
    </w:p>
    <w:p>
      <w:pPr>
        <w:pStyle w:val="5"/>
        <w:spacing w:line="360" w:lineRule="auto"/>
        <w:ind w:left="0" w:leftChars="0"/>
        <w:rPr>
          <w:rFonts w:ascii="宋体" w:hAnsi="宋体" w:cs="宋体"/>
          <w:color w:val="000000"/>
          <w:sz w:val="21"/>
          <w:szCs w:val="21"/>
        </w:rPr>
      </w:pPr>
      <w:r>
        <w:rPr>
          <w:rFonts w:hint="eastAsia" w:ascii="宋体" w:hAnsi="宋体" w:cs="宋体"/>
          <w:b/>
          <w:bCs/>
          <w:sz w:val="21"/>
          <w:szCs w:val="21"/>
        </w:rPr>
        <w:t>配置要求：</w:t>
      </w:r>
      <w:r>
        <w:rPr>
          <w:rFonts w:hint="eastAsia" w:ascii="宋体" w:hAnsi="宋体" w:cs="宋体"/>
          <w:sz w:val="21"/>
          <w:szCs w:val="21"/>
        </w:rPr>
        <w:t>电热消解仪主机一台，18孔特氟龙喷涂消解管支架2个。</w:t>
      </w:r>
    </w:p>
    <w:p>
      <w:pPr>
        <w:autoSpaceDE w:val="0"/>
        <w:autoSpaceDN w:val="0"/>
        <w:adjustRightInd w:val="0"/>
        <w:spacing w:line="360" w:lineRule="auto"/>
        <w:rPr>
          <w:rFonts w:ascii="宋体" w:hAnsi="宋体" w:cs="宋体"/>
          <w:b/>
          <w:color w:val="C00000"/>
          <w:sz w:val="21"/>
          <w:szCs w:val="21"/>
        </w:rPr>
      </w:pPr>
      <w:r>
        <w:rPr>
          <w:rFonts w:hint="eastAsia" w:ascii="宋体" w:hAnsi="宋体" w:cs="宋体"/>
          <w:b/>
          <w:bCs/>
          <w:sz w:val="21"/>
          <w:szCs w:val="21"/>
        </w:rPr>
        <w:t>技术指标</w:t>
      </w:r>
    </w:p>
    <w:p>
      <w:pPr>
        <w:pStyle w:val="9"/>
        <w:spacing w:before="0" w:beforeAutospacing="0" w:after="0" w:afterAutospacing="0" w:line="360" w:lineRule="auto"/>
        <w:jc w:val="both"/>
        <w:rPr>
          <w:rFonts w:eastAsia="宋体"/>
          <w:color w:val="C00000"/>
          <w:sz w:val="21"/>
          <w:szCs w:val="21"/>
        </w:rPr>
      </w:pPr>
      <w:r>
        <w:rPr>
          <w:rFonts w:hint="eastAsia" w:ascii="宋体" w:hAnsi="宋体" w:cs="宋体"/>
          <w:b/>
          <w:sz w:val="21"/>
          <w:szCs w:val="21"/>
        </w:rPr>
        <w:t>*</w:t>
      </w:r>
      <w:r>
        <w:rPr>
          <w:rFonts w:hint="eastAsia" w:ascii="宋体" w:hAnsi="宋体" w:cs="宋体"/>
          <w:b/>
          <w:bCs/>
          <w:sz w:val="21"/>
          <w:szCs w:val="21"/>
        </w:rPr>
        <w:t>1、加热功率及加热方式：</w:t>
      </w:r>
      <w:r>
        <w:rPr>
          <w:rFonts w:hint="eastAsia" w:ascii="宋体" w:hAnsi="宋体" w:cs="宋体"/>
          <w:sz w:val="21"/>
          <w:szCs w:val="21"/>
        </w:rPr>
        <w:t>加热功率≥1800W，孔式环绕式加热，一体式设计，控制器置于消解单元内</w:t>
      </w:r>
      <w:r>
        <w:rPr>
          <w:rFonts w:eastAsia="宋体"/>
          <w:color w:val="C00000"/>
          <w:sz w:val="21"/>
          <w:szCs w:val="21"/>
        </w:rPr>
        <w:t>（需提供产品彩页或官方网站链接及截图等作为证明资料）</w:t>
      </w:r>
      <w:r>
        <w:rPr>
          <w:rFonts w:hint="eastAsia" w:eastAsia="宋体"/>
          <w:color w:val="C00000"/>
          <w:sz w:val="21"/>
          <w:szCs w:val="21"/>
        </w:rPr>
        <w:t>。</w:t>
      </w:r>
    </w:p>
    <w:p>
      <w:pPr>
        <w:spacing w:line="360" w:lineRule="auto"/>
        <w:rPr>
          <w:rFonts w:ascii="宋体" w:hAnsi="宋体" w:cs="宋体"/>
          <w:color w:val="C00000"/>
          <w:sz w:val="21"/>
          <w:szCs w:val="21"/>
        </w:rPr>
      </w:pPr>
      <w:r>
        <w:rPr>
          <w:rFonts w:hint="eastAsia" w:ascii="宋体" w:hAnsi="宋体" w:cs="宋体"/>
          <w:b/>
          <w:bCs/>
          <w:sz w:val="21"/>
          <w:szCs w:val="21"/>
        </w:rPr>
        <w:t>2、传热材质：</w:t>
      </w:r>
      <w:r>
        <w:rPr>
          <w:rFonts w:hint="eastAsia" w:ascii="宋体" w:hAnsi="宋体" w:cs="宋体"/>
          <w:sz w:val="21"/>
          <w:szCs w:val="21"/>
        </w:rPr>
        <w:t>石墨及耐高温防腐喷涂，</w:t>
      </w:r>
      <w:r>
        <w:rPr>
          <w:rFonts w:hint="eastAsia" w:ascii="宋体" w:hAnsi="宋体" w:cs="宋体"/>
          <w:color w:val="C00000"/>
          <w:sz w:val="21"/>
          <w:szCs w:val="21"/>
        </w:rPr>
        <w:t>可耐强酸。</w:t>
      </w:r>
    </w:p>
    <w:p>
      <w:pPr>
        <w:pStyle w:val="9"/>
        <w:spacing w:before="0" w:beforeAutospacing="0" w:after="0" w:afterAutospacing="0" w:line="360" w:lineRule="auto"/>
        <w:jc w:val="both"/>
        <w:rPr>
          <w:rFonts w:ascii="宋体" w:hAnsi="宋体" w:cs="宋体"/>
          <w:sz w:val="21"/>
          <w:szCs w:val="21"/>
        </w:rPr>
      </w:pPr>
      <w:r>
        <w:rPr>
          <w:rFonts w:hint="eastAsia" w:ascii="宋体" w:hAnsi="宋体" w:cs="宋体"/>
          <w:b/>
          <w:sz w:val="21"/>
          <w:szCs w:val="21"/>
        </w:rPr>
        <w:t>▲</w:t>
      </w:r>
      <w:r>
        <w:rPr>
          <w:rFonts w:hint="eastAsia" w:ascii="宋体" w:hAnsi="宋体" w:cs="宋体"/>
          <w:b/>
          <w:bCs/>
          <w:sz w:val="21"/>
          <w:szCs w:val="21"/>
        </w:rPr>
        <w:t>3、控温范围：</w:t>
      </w:r>
      <w:r>
        <w:rPr>
          <w:rFonts w:hint="eastAsia" w:ascii="宋体" w:hAnsi="宋体" w:cs="宋体"/>
          <w:sz w:val="21"/>
          <w:szCs w:val="21"/>
        </w:rPr>
        <w:t>室温-210℃；控温精度：±0.2℃</w:t>
      </w:r>
      <w:r>
        <w:rPr>
          <w:rFonts w:eastAsia="宋体"/>
          <w:color w:val="C00000"/>
          <w:sz w:val="21"/>
          <w:szCs w:val="21"/>
        </w:rPr>
        <w:t>（需提供产品彩页或官方网站链接及截图等作为证明资料）</w:t>
      </w:r>
      <w:r>
        <w:rPr>
          <w:rFonts w:hint="eastAsia" w:eastAsia="宋体"/>
          <w:color w:val="C00000"/>
          <w:sz w:val="21"/>
          <w:szCs w:val="21"/>
        </w:rPr>
        <w:t>。</w:t>
      </w:r>
    </w:p>
    <w:p>
      <w:pPr>
        <w:spacing w:line="360" w:lineRule="auto"/>
        <w:rPr>
          <w:rFonts w:hint="eastAsia" w:ascii="宋体" w:hAnsi="宋体" w:eastAsia="宋体" w:cs="宋体"/>
          <w:sz w:val="21"/>
          <w:szCs w:val="21"/>
          <w:lang w:eastAsia="zh-CN"/>
        </w:rPr>
      </w:pPr>
      <w:r>
        <w:rPr>
          <w:rFonts w:hint="eastAsia" w:ascii="宋体" w:hAnsi="宋体" w:cs="宋体"/>
          <w:b/>
          <w:bCs/>
          <w:sz w:val="21"/>
          <w:szCs w:val="21"/>
        </w:rPr>
        <w:t>4、控温方式：</w:t>
      </w:r>
      <w:r>
        <w:rPr>
          <w:rFonts w:hint="eastAsia" w:ascii="宋体" w:hAnsi="宋体" w:cs="宋体"/>
          <w:sz w:val="21"/>
          <w:szCs w:val="21"/>
        </w:rPr>
        <w:t xml:space="preserve"> 智能PID微芯片控制，LED数字显示温度</w:t>
      </w:r>
      <w:r>
        <w:rPr>
          <w:rFonts w:hint="eastAsia" w:ascii="宋体" w:hAnsi="宋体" w:cs="宋体"/>
          <w:sz w:val="21"/>
          <w:szCs w:val="21"/>
          <w:lang w:eastAsia="zh-CN"/>
        </w:rPr>
        <w:t>。</w:t>
      </w:r>
    </w:p>
    <w:p>
      <w:pPr>
        <w:spacing w:line="360" w:lineRule="auto"/>
        <w:rPr>
          <w:rFonts w:ascii="宋体" w:hAnsi="宋体" w:cs="宋体"/>
          <w:sz w:val="21"/>
          <w:szCs w:val="21"/>
        </w:rPr>
      </w:pPr>
      <w:r>
        <w:rPr>
          <w:rFonts w:hint="eastAsia" w:ascii="宋体" w:hAnsi="宋体" w:cs="宋体"/>
          <w:b/>
          <w:bCs/>
          <w:sz w:val="21"/>
          <w:szCs w:val="21"/>
        </w:rPr>
        <w:t>5、孔间温差：</w:t>
      </w:r>
      <w:r>
        <w:rPr>
          <w:rFonts w:hint="eastAsia" w:ascii="宋体" w:hAnsi="宋体" w:cs="宋体"/>
          <w:sz w:val="21"/>
          <w:szCs w:val="21"/>
        </w:rPr>
        <w:t>≦±1℃@100℃，加热块周围多重保温设计有效减少热量损失，提高板面温度均匀性。</w:t>
      </w:r>
    </w:p>
    <w:p>
      <w:pPr>
        <w:pStyle w:val="9"/>
        <w:spacing w:before="0" w:beforeAutospacing="0" w:after="0" w:afterAutospacing="0" w:line="360" w:lineRule="auto"/>
        <w:jc w:val="both"/>
        <w:rPr>
          <w:rFonts w:ascii="宋体" w:hAnsi="宋体" w:cs="宋体"/>
          <w:sz w:val="21"/>
          <w:szCs w:val="21"/>
        </w:rPr>
      </w:pPr>
      <w:r>
        <w:rPr>
          <w:rFonts w:hint="eastAsia" w:ascii="宋体" w:hAnsi="宋体" w:cs="宋体"/>
          <w:b/>
          <w:sz w:val="21"/>
          <w:szCs w:val="21"/>
        </w:rPr>
        <w:t>▲</w:t>
      </w:r>
      <w:r>
        <w:rPr>
          <w:rFonts w:hint="eastAsia" w:ascii="宋体" w:hAnsi="宋体" w:cs="宋体"/>
          <w:b/>
          <w:bCs/>
          <w:color w:val="000000"/>
          <w:sz w:val="21"/>
          <w:szCs w:val="21"/>
        </w:rPr>
        <w:t>6、</w:t>
      </w:r>
      <w:r>
        <w:rPr>
          <w:rFonts w:hint="eastAsia" w:ascii="宋体" w:hAnsi="宋体" w:cs="宋体"/>
          <w:b/>
          <w:bCs/>
          <w:sz w:val="21"/>
          <w:szCs w:val="21"/>
        </w:rPr>
        <w:t>消解孔数：≥36</w:t>
      </w:r>
      <w:r>
        <w:rPr>
          <w:rFonts w:hint="eastAsia" w:ascii="宋体" w:hAnsi="宋体" w:cs="宋体"/>
          <w:sz w:val="21"/>
          <w:szCs w:val="21"/>
        </w:rPr>
        <w:t>；消解孔规格：R×D：31×60mm</w:t>
      </w:r>
      <w:r>
        <w:rPr>
          <w:rFonts w:eastAsia="宋体"/>
          <w:color w:val="C00000"/>
          <w:sz w:val="21"/>
          <w:szCs w:val="21"/>
        </w:rPr>
        <w:t>（需提供产品彩页或官方网站链接及截图等作为证明资料）</w:t>
      </w:r>
      <w:r>
        <w:rPr>
          <w:rFonts w:hint="eastAsia" w:eastAsia="宋体"/>
          <w:color w:val="C00000"/>
          <w:sz w:val="21"/>
          <w:szCs w:val="21"/>
        </w:rPr>
        <w:t>。</w:t>
      </w:r>
    </w:p>
    <w:p>
      <w:pPr>
        <w:spacing w:line="360" w:lineRule="auto"/>
        <w:rPr>
          <w:rFonts w:hint="eastAsia" w:ascii="宋体" w:hAnsi="宋体" w:eastAsia="宋体" w:cs="宋体"/>
          <w:sz w:val="21"/>
          <w:szCs w:val="21"/>
          <w:lang w:eastAsia="zh-CN"/>
        </w:rPr>
      </w:pPr>
      <w:r>
        <w:rPr>
          <w:rFonts w:hint="eastAsia" w:ascii="宋体" w:hAnsi="宋体" w:cs="宋体"/>
          <w:b/>
          <w:bCs/>
          <w:sz w:val="21"/>
          <w:szCs w:val="21"/>
        </w:rPr>
        <w:t>7、整机通过防腐处理</w:t>
      </w:r>
      <w:r>
        <w:rPr>
          <w:rFonts w:hint="eastAsia" w:ascii="宋体" w:hAnsi="宋体" w:cs="宋体"/>
          <w:sz w:val="21"/>
          <w:szCs w:val="21"/>
        </w:rPr>
        <w:t>：操作台面特氟龙喷涂，无金属部件裸露</w:t>
      </w:r>
      <w:r>
        <w:rPr>
          <w:rFonts w:hint="eastAsia" w:ascii="宋体" w:hAnsi="宋体" w:cs="宋体"/>
          <w:sz w:val="21"/>
          <w:szCs w:val="21"/>
          <w:lang w:eastAsia="zh-CN"/>
        </w:rPr>
        <w:t>。</w:t>
      </w:r>
    </w:p>
    <w:p>
      <w:pPr>
        <w:spacing w:line="360" w:lineRule="auto"/>
        <w:rPr>
          <w:rFonts w:ascii="宋体" w:hAnsi="宋体" w:cs="宋体"/>
          <w:b/>
          <w:bCs/>
          <w:sz w:val="21"/>
          <w:szCs w:val="21"/>
        </w:rPr>
      </w:pPr>
      <w:r>
        <w:rPr>
          <w:rFonts w:hint="eastAsia" w:ascii="宋体" w:hAnsi="宋体" w:cs="宋体"/>
          <w:b/>
          <w:bCs/>
          <w:sz w:val="21"/>
          <w:szCs w:val="21"/>
        </w:rPr>
        <w:t>8、高温蜂鸣报警功能。</w:t>
      </w:r>
    </w:p>
    <w:p>
      <w:pPr>
        <w:spacing w:line="360" w:lineRule="auto"/>
        <w:rPr>
          <w:rFonts w:ascii="宋体" w:hAnsi="宋体" w:cs="宋体"/>
          <w:sz w:val="21"/>
          <w:szCs w:val="21"/>
        </w:rPr>
      </w:pPr>
      <w:r>
        <w:rPr>
          <w:rFonts w:hint="eastAsia" w:ascii="宋体" w:hAnsi="宋体" w:cs="宋体"/>
          <w:b/>
          <w:bCs/>
          <w:sz w:val="21"/>
          <w:szCs w:val="21"/>
        </w:rPr>
        <w:t>9、消解管支架可置于消解仪主机上使用：</w:t>
      </w:r>
      <w:r>
        <w:rPr>
          <w:rFonts w:hint="eastAsia" w:ascii="宋体" w:hAnsi="宋体" w:cs="宋体"/>
          <w:sz w:val="21"/>
          <w:szCs w:val="21"/>
        </w:rPr>
        <w:t>可同时将18个消解管置入或脱离消解孔，适合批量操作。</w:t>
      </w:r>
    </w:p>
    <w:p>
      <w:pPr>
        <w:spacing w:line="360" w:lineRule="auto"/>
        <w:rPr>
          <w:rFonts w:ascii="宋体" w:hAnsi="宋体" w:cs="宋体"/>
          <w:b/>
          <w:bCs/>
          <w:sz w:val="21"/>
          <w:szCs w:val="21"/>
        </w:rPr>
      </w:pPr>
      <w:r>
        <w:rPr>
          <w:rFonts w:hint="eastAsia" w:ascii="宋体" w:hAnsi="宋体" w:cs="宋体"/>
          <w:b/>
          <w:bCs/>
          <w:sz w:val="21"/>
          <w:szCs w:val="21"/>
        </w:rPr>
        <w:t>10、生产商通过ISO9001质量管理体系和售后服务体系认证，产品通过CE认证。</w:t>
      </w:r>
    </w:p>
    <w:p>
      <w:pPr>
        <w:pStyle w:val="11"/>
        <w:ind w:firstLine="0" w:firstLineChars="0"/>
        <w:rPr>
          <w:rFonts w:ascii="宋体" w:hAnsi="宋体" w:cs="宋体"/>
          <w:kern w:val="0"/>
          <w:sz w:val="21"/>
          <w:szCs w:val="21"/>
        </w:rPr>
      </w:pPr>
    </w:p>
    <w:p>
      <w:pPr>
        <w:numPr>
          <w:ilvl w:val="0"/>
          <w:numId w:val="6"/>
        </w:numPr>
        <w:tabs>
          <w:tab w:val="left" w:pos="420"/>
        </w:tabs>
        <w:spacing w:line="360" w:lineRule="auto"/>
        <w:jc w:val="left"/>
        <w:rPr>
          <w:rFonts w:ascii="宋体" w:hAnsi="宋体" w:cs="宋体"/>
          <w:b/>
          <w:bCs/>
          <w:sz w:val="21"/>
          <w:szCs w:val="21"/>
        </w:rPr>
      </w:pPr>
      <w:r>
        <w:rPr>
          <w:rFonts w:hint="eastAsia" w:ascii="宋体" w:hAnsi="宋体" w:cs="宋体"/>
          <w:b/>
          <w:bCs/>
          <w:sz w:val="21"/>
          <w:szCs w:val="21"/>
          <w:lang w:val="zh-CN"/>
        </w:rPr>
        <w:t>移液器</w:t>
      </w:r>
    </w:p>
    <w:p>
      <w:pPr>
        <w:pStyle w:val="11"/>
        <w:ind w:firstLine="0" w:firstLineChars="0"/>
        <w:rPr>
          <w:rFonts w:ascii="宋体" w:hAnsi="宋体" w:cs="宋体"/>
          <w:sz w:val="21"/>
          <w:szCs w:val="21"/>
        </w:rPr>
      </w:pPr>
      <w:r>
        <w:rPr>
          <w:rFonts w:hint="eastAsia" w:ascii="宋体" w:hAnsi="宋体" w:cs="宋体"/>
          <w:b/>
          <w:bCs/>
          <w:sz w:val="21"/>
          <w:szCs w:val="21"/>
        </w:rPr>
        <w:t>配置要求：</w:t>
      </w:r>
    </w:p>
    <w:tbl>
      <w:tblPr>
        <w:tblStyle w:val="12"/>
        <w:tblW w:w="7951" w:type="dxa"/>
        <w:jc w:val="center"/>
        <w:tblLayout w:type="fixed"/>
        <w:tblCellMar>
          <w:top w:w="0" w:type="dxa"/>
          <w:left w:w="108" w:type="dxa"/>
          <w:bottom w:w="0" w:type="dxa"/>
          <w:right w:w="108" w:type="dxa"/>
        </w:tblCellMar>
      </w:tblPr>
      <w:tblGrid>
        <w:gridCol w:w="1539"/>
        <w:gridCol w:w="3337"/>
        <w:gridCol w:w="1016"/>
        <w:gridCol w:w="2059"/>
      </w:tblGrid>
      <w:tr>
        <w:tblPrEx>
          <w:tblCellMar>
            <w:top w:w="0" w:type="dxa"/>
            <w:left w:w="108" w:type="dxa"/>
            <w:bottom w:w="0" w:type="dxa"/>
            <w:right w:w="108" w:type="dxa"/>
          </w:tblCellMar>
        </w:tblPrEx>
        <w:trPr>
          <w:trHeight w:val="360" w:hRule="atLeast"/>
          <w:jc w:val="center"/>
        </w:trPr>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序 号</w:t>
            </w: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sz w:val="21"/>
                <w:szCs w:val="21"/>
              </w:rPr>
              <w:t>名称</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单位</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数量</w:t>
            </w:r>
          </w:p>
        </w:tc>
      </w:tr>
      <w:tr>
        <w:tblPrEx>
          <w:tblCellMar>
            <w:top w:w="0" w:type="dxa"/>
            <w:left w:w="108" w:type="dxa"/>
            <w:bottom w:w="0" w:type="dxa"/>
            <w:right w:w="108" w:type="dxa"/>
          </w:tblCellMar>
        </w:tblPrEx>
        <w:trPr>
          <w:trHeight w:val="642" w:hRule="atLeast"/>
          <w:jc w:val="center"/>
        </w:trPr>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1</w:t>
            </w:r>
          </w:p>
        </w:tc>
        <w:tc>
          <w:tcPr>
            <w:tcW w:w="3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移液器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把</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w:t>
            </w:r>
          </w:p>
        </w:tc>
      </w:tr>
      <w:tr>
        <w:tblPrEx>
          <w:tblCellMar>
            <w:top w:w="0" w:type="dxa"/>
            <w:left w:w="108" w:type="dxa"/>
            <w:bottom w:w="0" w:type="dxa"/>
            <w:right w:w="108" w:type="dxa"/>
          </w:tblCellMar>
        </w:tblPrEx>
        <w:trPr>
          <w:trHeight w:val="499" w:hRule="atLeast"/>
          <w:jc w:val="center"/>
        </w:trPr>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2</w:t>
            </w:r>
          </w:p>
        </w:tc>
        <w:tc>
          <w:tcPr>
            <w:tcW w:w="3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适配移液器架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套</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w:t>
            </w:r>
          </w:p>
        </w:tc>
      </w:tr>
      <w:tr>
        <w:tblPrEx>
          <w:tblCellMar>
            <w:top w:w="0" w:type="dxa"/>
            <w:left w:w="108" w:type="dxa"/>
            <w:bottom w:w="0" w:type="dxa"/>
            <w:right w:w="108" w:type="dxa"/>
          </w:tblCellMar>
        </w:tblPrEx>
        <w:trPr>
          <w:trHeight w:val="499" w:hRule="atLeast"/>
          <w:jc w:val="center"/>
        </w:trPr>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21"/>
                <w:szCs w:val="21"/>
              </w:rPr>
            </w:pPr>
            <w:r>
              <w:rPr>
                <w:rFonts w:hint="eastAsia" w:ascii="宋体" w:hAnsi="宋体" w:cs="宋体"/>
                <w:b/>
                <w:bCs/>
                <w:color w:val="000000"/>
                <w:kern w:val="0"/>
                <w:sz w:val="21"/>
                <w:szCs w:val="21"/>
              </w:rPr>
              <w:t>3</w:t>
            </w:r>
          </w:p>
        </w:tc>
        <w:tc>
          <w:tcPr>
            <w:tcW w:w="3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适配吸头</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箱</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3</w:t>
            </w:r>
          </w:p>
        </w:tc>
      </w:tr>
      <w:tr>
        <w:tblPrEx>
          <w:tblCellMar>
            <w:top w:w="0" w:type="dxa"/>
            <w:left w:w="108" w:type="dxa"/>
            <w:bottom w:w="0" w:type="dxa"/>
            <w:right w:w="108" w:type="dxa"/>
          </w:tblCellMar>
        </w:tblPrEx>
        <w:trPr>
          <w:trHeight w:val="499" w:hRule="atLeast"/>
          <w:jc w:val="center"/>
        </w:trPr>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21"/>
                <w:szCs w:val="21"/>
              </w:rPr>
            </w:pPr>
            <w:r>
              <w:rPr>
                <w:rFonts w:hint="eastAsia" w:ascii="宋体" w:hAnsi="宋体" w:cs="宋体"/>
                <w:b/>
                <w:bCs/>
                <w:color w:val="000000"/>
                <w:kern w:val="0"/>
                <w:sz w:val="21"/>
                <w:szCs w:val="21"/>
              </w:rPr>
              <w:t>4</w:t>
            </w:r>
          </w:p>
        </w:tc>
        <w:tc>
          <w:tcPr>
            <w:tcW w:w="3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适配移液器枪头盒</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盒</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6</w:t>
            </w:r>
          </w:p>
        </w:tc>
      </w:tr>
    </w:tbl>
    <w:p>
      <w:pPr>
        <w:autoSpaceDE w:val="0"/>
        <w:autoSpaceDN w:val="0"/>
        <w:adjustRightInd w:val="0"/>
        <w:spacing w:line="360" w:lineRule="auto"/>
        <w:rPr>
          <w:rFonts w:ascii="宋体" w:hAnsi="宋体" w:cs="宋体"/>
          <w:b/>
          <w:bCs/>
          <w:color w:val="C00000"/>
          <w:sz w:val="21"/>
          <w:szCs w:val="21"/>
        </w:rPr>
      </w:pPr>
      <w:r>
        <w:rPr>
          <w:rFonts w:hint="eastAsia" w:ascii="宋体" w:hAnsi="宋体" w:cs="仿宋"/>
          <w:b/>
          <w:bCs/>
          <w:color w:val="000000"/>
          <w:sz w:val="21"/>
          <w:szCs w:val="21"/>
        </w:rPr>
        <w:t>技术指标</w:t>
      </w:r>
    </w:p>
    <w:p>
      <w:pPr>
        <w:spacing w:line="360" w:lineRule="auto"/>
        <w:rPr>
          <w:rFonts w:ascii="宋体" w:hAnsi="宋体" w:cs="仿宋"/>
          <w:color w:val="000000"/>
          <w:sz w:val="21"/>
          <w:szCs w:val="21"/>
        </w:rPr>
      </w:pPr>
      <w:r>
        <w:rPr>
          <w:rFonts w:hint="eastAsia" w:ascii="宋体" w:hAnsi="宋体" w:cs="仿宋"/>
          <w:b/>
          <w:bCs/>
          <w:color w:val="000000"/>
          <w:sz w:val="21"/>
          <w:szCs w:val="21"/>
        </w:rPr>
        <w:t>1 量程范围：</w:t>
      </w:r>
      <w:r>
        <w:rPr>
          <w:rFonts w:hint="eastAsia" w:ascii="宋体" w:hAnsi="宋体" w:cs="仿宋"/>
          <w:color w:val="000000"/>
          <w:sz w:val="21"/>
          <w:szCs w:val="21"/>
        </w:rPr>
        <w:t>1-10mL，最小刻度为0.01mL，不准确度低于0.5%，精密度低于0.2%。</w:t>
      </w:r>
    </w:p>
    <w:p>
      <w:pPr>
        <w:spacing w:line="360" w:lineRule="auto"/>
        <w:rPr>
          <w:rFonts w:ascii="宋体" w:hAnsi="宋体" w:cs="仿宋"/>
          <w:color w:val="000000"/>
          <w:sz w:val="21"/>
          <w:szCs w:val="21"/>
        </w:rPr>
      </w:pPr>
      <w:r>
        <w:rPr>
          <w:rFonts w:hint="eastAsia" w:ascii="宋体" w:hAnsi="宋体" w:cs="仿宋"/>
          <w:b/>
          <w:bCs/>
          <w:color w:val="000000"/>
          <w:sz w:val="21"/>
          <w:szCs w:val="21"/>
        </w:rPr>
        <w:t>2 符合人体工程学外形设计:</w:t>
      </w:r>
      <w:r>
        <w:rPr>
          <w:rFonts w:hint="eastAsia" w:ascii="宋体" w:hAnsi="宋体" w:cs="仿宋"/>
          <w:color w:val="000000"/>
          <w:sz w:val="21"/>
          <w:szCs w:val="21"/>
        </w:rPr>
        <w:t>带有PTFE涂层，耐腐蚀性更好，移液精度更高。</w:t>
      </w:r>
    </w:p>
    <w:p>
      <w:pPr>
        <w:pStyle w:val="9"/>
        <w:spacing w:before="0" w:beforeAutospacing="0" w:after="0" w:afterAutospacing="0" w:line="360" w:lineRule="auto"/>
        <w:jc w:val="both"/>
        <w:rPr>
          <w:rFonts w:ascii="宋体" w:hAnsi="宋体" w:cs="仿宋"/>
          <w:color w:val="000000"/>
          <w:sz w:val="21"/>
          <w:szCs w:val="21"/>
        </w:rPr>
      </w:pPr>
      <w:r>
        <w:rPr>
          <w:rFonts w:hint="eastAsia" w:ascii="宋体" w:hAnsi="宋体" w:cs="仿宋"/>
          <w:b/>
          <w:bCs/>
          <w:color w:val="000000"/>
          <w:sz w:val="21"/>
          <w:szCs w:val="21"/>
        </w:rPr>
        <w:t>3 体积调节装置：</w:t>
      </w:r>
      <w:r>
        <w:rPr>
          <w:rFonts w:hint="eastAsia" w:ascii="宋体" w:hAnsi="宋体" w:cs="仿宋"/>
          <w:color w:val="000000"/>
          <w:sz w:val="21"/>
          <w:szCs w:val="21"/>
        </w:rPr>
        <w:t>可单手准确设定移液体积，且带锁死装置，在操作过程中不会发生体积变化。</w:t>
      </w:r>
      <w:r>
        <w:rPr>
          <w:rFonts w:hint="eastAsia" w:ascii="宋体" w:hAnsi="宋体" w:cs="仿宋"/>
          <w:color w:val="000000"/>
          <w:sz w:val="21"/>
          <w:szCs w:val="21"/>
        </w:rPr>
        <w:br w:type="textWrapping"/>
      </w:r>
      <w:r>
        <w:rPr>
          <w:rFonts w:hint="eastAsia" w:ascii="宋体" w:hAnsi="宋体" w:cs="仿宋"/>
          <w:b/>
          <w:bCs/>
          <w:color w:val="000000"/>
          <w:sz w:val="21"/>
          <w:szCs w:val="21"/>
        </w:rPr>
        <w:t>*4 推杆长度可调节:</w:t>
      </w:r>
      <w:r>
        <w:rPr>
          <w:rFonts w:hint="eastAsia" w:ascii="宋体" w:hAnsi="宋体" w:cs="仿宋"/>
          <w:color w:val="000000"/>
          <w:sz w:val="21"/>
          <w:szCs w:val="21"/>
        </w:rPr>
        <w:t xml:space="preserve"> 吸头杆具备高度调节设计，吸头适配性更强，拓展吸头的通用性</w:t>
      </w:r>
      <w:r>
        <w:rPr>
          <w:rFonts w:eastAsia="宋体"/>
          <w:color w:val="C00000"/>
          <w:sz w:val="21"/>
          <w:szCs w:val="21"/>
        </w:rPr>
        <w:t>（需提供产品彩页或官方网站链接及截图等作为证明资料）</w:t>
      </w:r>
      <w:r>
        <w:rPr>
          <w:rFonts w:hint="eastAsia" w:eastAsia="宋体"/>
          <w:color w:val="C00000"/>
          <w:sz w:val="21"/>
          <w:szCs w:val="21"/>
        </w:rPr>
        <w:t>。</w:t>
      </w:r>
    </w:p>
    <w:p>
      <w:pPr>
        <w:spacing w:line="360" w:lineRule="auto"/>
        <w:rPr>
          <w:rFonts w:ascii="宋体" w:hAnsi="宋体" w:cs="仿宋"/>
          <w:color w:val="000000"/>
          <w:sz w:val="21"/>
          <w:szCs w:val="21"/>
        </w:rPr>
      </w:pPr>
      <w:r>
        <w:rPr>
          <w:rFonts w:hint="eastAsia" w:ascii="宋体" w:hAnsi="宋体" w:cs="仿宋"/>
          <w:b/>
          <w:bCs/>
          <w:color w:val="000000"/>
          <w:sz w:val="21"/>
          <w:szCs w:val="21"/>
        </w:rPr>
        <w:t>5可整支 121°C 高温高压灭菌</w:t>
      </w:r>
      <w:r>
        <w:rPr>
          <w:rFonts w:hint="eastAsia" w:ascii="宋体" w:hAnsi="宋体" w:cs="仿宋"/>
          <w:color w:val="000000"/>
          <w:sz w:val="21"/>
          <w:szCs w:val="21"/>
        </w:rPr>
        <w:t>。</w:t>
      </w:r>
    </w:p>
    <w:p>
      <w:pPr>
        <w:pStyle w:val="9"/>
        <w:spacing w:before="0" w:beforeAutospacing="0" w:after="0" w:afterAutospacing="0" w:line="360" w:lineRule="auto"/>
        <w:jc w:val="both"/>
        <w:rPr>
          <w:rFonts w:ascii="宋体" w:hAnsi="宋体" w:cs="宋体"/>
          <w:sz w:val="21"/>
          <w:szCs w:val="21"/>
        </w:rPr>
      </w:pPr>
      <w:r>
        <w:rPr>
          <w:rFonts w:hint="eastAsia" w:ascii="宋体" w:hAnsi="宋体" w:cs="仿宋"/>
          <w:b/>
          <w:bCs/>
          <w:color w:val="000000"/>
          <w:sz w:val="21"/>
          <w:szCs w:val="21"/>
        </w:rPr>
        <w:t>*6具备即校式校正系统：</w:t>
      </w:r>
      <w:r>
        <w:rPr>
          <w:rFonts w:hint="eastAsia" w:ascii="宋体" w:hAnsi="宋体" w:cs="仿宋"/>
          <w:color w:val="000000"/>
          <w:sz w:val="21"/>
          <w:szCs w:val="21"/>
        </w:rPr>
        <w:t>无需特殊工具，用户可随时对移液器自己进行校正，同时</w:t>
      </w:r>
      <w:r>
        <w:rPr>
          <w:rFonts w:hint="eastAsia" w:ascii="宋体" w:hAnsi="宋体" w:cs="仿宋"/>
          <w:color w:val="000000"/>
          <w:sz w:val="21"/>
          <w:szCs w:val="21"/>
          <w:lang w:val="en-US" w:eastAsia="zh-CN"/>
        </w:rPr>
        <w:t>承诺</w:t>
      </w:r>
      <w:r>
        <w:rPr>
          <w:rFonts w:hint="eastAsia" w:ascii="宋体" w:hAnsi="宋体" w:cs="仿宋"/>
          <w:color w:val="000000"/>
          <w:sz w:val="21"/>
          <w:szCs w:val="21"/>
        </w:rPr>
        <w:t>移液器前三年提供免费校准服务</w:t>
      </w:r>
      <w:r>
        <w:rPr>
          <w:rFonts w:eastAsia="宋体"/>
          <w:color w:val="C00000"/>
          <w:sz w:val="21"/>
          <w:szCs w:val="21"/>
        </w:rPr>
        <w:t>（需提供产品彩页或官方网站链接及截图等作为证明资料</w:t>
      </w:r>
      <w:r>
        <w:rPr>
          <w:rFonts w:hint="eastAsia"/>
          <w:color w:val="C00000"/>
          <w:sz w:val="21"/>
          <w:szCs w:val="21"/>
          <w:lang w:eastAsia="zh-CN"/>
        </w:rPr>
        <w:t>，</w:t>
      </w:r>
      <w:r>
        <w:rPr>
          <w:rFonts w:hint="eastAsia"/>
          <w:color w:val="C00000"/>
          <w:sz w:val="21"/>
          <w:szCs w:val="21"/>
          <w:lang w:val="en-US" w:eastAsia="zh-CN"/>
        </w:rPr>
        <w:t>校准服务需要承诺书</w:t>
      </w:r>
      <w:r>
        <w:rPr>
          <w:rFonts w:eastAsia="宋体"/>
          <w:color w:val="C00000"/>
          <w:sz w:val="21"/>
          <w:szCs w:val="21"/>
        </w:rPr>
        <w:t>）</w:t>
      </w:r>
      <w:r>
        <w:rPr>
          <w:rFonts w:hint="eastAsia" w:eastAsia="宋体"/>
          <w:color w:val="C00000"/>
          <w:sz w:val="21"/>
          <w:szCs w:val="21"/>
        </w:rPr>
        <w:t>。</w:t>
      </w:r>
    </w:p>
    <w:p>
      <w:pPr>
        <w:spacing w:line="360" w:lineRule="auto"/>
        <w:rPr>
          <w:rFonts w:ascii="宋体" w:hAnsi="宋体" w:cs="仿宋"/>
          <w:color w:val="000000"/>
          <w:sz w:val="21"/>
          <w:szCs w:val="21"/>
        </w:rPr>
      </w:pPr>
      <w:r>
        <w:rPr>
          <w:rFonts w:hint="eastAsia" w:ascii="宋体" w:hAnsi="宋体" w:cs="仿宋"/>
          <w:b/>
          <w:bCs/>
          <w:color w:val="000000"/>
          <w:sz w:val="21"/>
          <w:szCs w:val="21"/>
        </w:rPr>
        <w:t>7具备密度调节窗口：</w:t>
      </w:r>
      <w:r>
        <w:rPr>
          <w:rFonts w:hint="eastAsia" w:ascii="宋体" w:hAnsi="宋体" w:cs="仿宋"/>
          <w:color w:val="000000"/>
          <w:sz w:val="21"/>
          <w:szCs w:val="21"/>
        </w:rPr>
        <w:t>适用于移取不同密度的液体。</w:t>
      </w:r>
    </w:p>
    <w:p>
      <w:pPr>
        <w:tabs>
          <w:tab w:val="left" w:pos="420"/>
        </w:tabs>
        <w:jc w:val="left"/>
        <w:rPr>
          <w:rFonts w:ascii="宋体" w:hAnsi="宋体" w:cs="宋体"/>
          <w:color w:val="000000"/>
          <w:sz w:val="21"/>
          <w:szCs w:val="21"/>
        </w:rPr>
      </w:pPr>
    </w:p>
    <w:p>
      <w:pPr>
        <w:spacing w:line="360" w:lineRule="auto"/>
        <w:rPr>
          <w:rFonts w:ascii="宋体" w:hAnsi="宋体"/>
          <w:b/>
          <w:sz w:val="21"/>
          <w:szCs w:val="21"/>
        </w:rPr>
      </w:pPr>
      <w:r>
        <w:rPr>
          <w:rFonts w:hint="eastAsia" w:ascii="宋体" w:hAnsi="宋体"/>
          <w:b/>
          <w:sz w:val="21"/>
          <w:szCs w:val="21"/>
        </w:rPr>
        <w:t>四、商务部分要求：</w:t>
      </w:r>
    </w:p>
    <w:p>
      <w:pPr>
        <w:spacing w:line="360" w:lineRule="auto"/>
        <w:ind w:firstLine="422" w:firstLineChars="200"/>
        <w:rPr>
          <w:rFonts w:ascii="宋体" w:hAnsi="宋体"/>
          <w:b/>
          <w:sz w:val="21"/>
          <w:szCs w:val="21"/>
        </w:rPr>
      </w:pPr>
      <w:r>
        <w:rPr>
          <w:rFonts w:hint="eastAsia" w:ascii="宋体" w:hAnsi="宋体"/>
          <w:b/>
          <w:sz w:val="21"/>
          <w:szCs w:val="21"/>
        </w:rPr>
        <w:t>(一)、设备交付要求：</w:t>
      </w:r>
    </w:p>
    <w:p>
      <w:pPr>
        <w:spacing w:line="360" w:lineRule="auto"/>
        <w:rPr>
          <w:rFonts w:ascii="宋体" w:hAnsi="宋体"/>
          <w:sz w:val="21"/>
          <w:szCs w:val="21"/>
        </w:rPr>
      </w:pPr>
      <w:r>
        <w:rPr>
          <w:rFonts w:hint="eastAsia" w:ascii="宋体" w:hAnsi="宋体"/>
          <w:sz w:val="21"/>
          <w:szCs w:val="21"/>
          <w:highlight w:val="none"/>
        </w:rPr>
        <w:t xml:space="preserve">    1、交货：合同签订之日三十日内完成送货（不接受快递送货、分批送货）</w:t>
      </w:r>
      <w:r>
        <w:rPr>
          <w:rFonts w:hint="eastAsia"/>
          <w:sz w:val="21"/>
          <w:szCs w:val="21"/>
          <w:highlight w:val="none"/>
        </w:rPr>
        <w:t>，</w:t>
      </w:r>
      <w:r>
        <w:rPr>
          <w:rFonts w:hint="eastAsia" w:ascii="宋体" w:hAnsi="宋体"/>
          <w:sz w:val="21"/>
          <w:szCs w:val="21"/>
          <w:highlight w:val="none"/>
        </w:rPr>
        <w:t>到货时供应</w:t>
      </w:r>
      <w:r>
        <w:rPr>
          <w:rFonts w:hint="eastAsia" w:ascii="宋体" w:hAnsi="宋体"/>
          <w:sz w:val="21"/>
          <w:szCs w:val="21"/>
        </w:rPr>
        <w:t>商应现场负责将货物运到采购人指定地点，由此产生的运输和装卸等一切费用由供应商承担。到货后一个星期内供应商或生产厂家应在采购方指定地点进行安装、调试，试运行合格后由采购人组织验收，检验不合格或不符合质量要求，供应商除无条件退货、返工外，还应承担由此产生的一切费用。（包括采购人的一切损失）</w:t>
      </w:r>
    </w:p>
    <w:p>
      <w:pPr>
        <w:spacing w:line="360" w:lineRule="auto"/>
        <w:ind w:firstLine="420" w:firstLineChars="200"/>
        <w:rPr>
          <w:rFonts w:ascii="宋体" w:hAnsi="宋体"/>
          <w:sz w:val="21"/>
          <w:szCs w:val="21"/>
        </w:rPr>
      </w:pPr>
      <w:r>
        <w:rPr>
          <w:rFonts w:hint="eastAsia" w:ascii="宋体" w:hAnsi="宋体"/>
          <w:sz w:val="21"/>
          <w:szCs w:val="21"/>
        </w:rPr>
        <w:t>2、供应商提供的货物（含配件）应是全新的、未使用过的原装合格正品，并保证所提供货物的开箱合格率为</w:t>
      </w:r>
      <w:r>
        <w:rPr>
          <w:rFonts w:ascii="宋体" w:hAnsi="宋体"/>
          <w:sz w:val="21"/>
          <w:szCs w:val="21"/>
        </w:rPr>
        <w:t>100%</w:t>
      </w:r>
      <w:r>
        <w:rPr>
          <w:rFonts w:hint="eastAsia" w:ascii="宋体" w:hAnsi="宋体"/>
          <w:sz w:val="21"/>
          <w:szCs w:val="21"/>
        </w:rPr>
        <w:t>，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widowControl/>
        <w:spacing w:line="360" w:lineRule="auto"/>
        <w:ind w:firstLine="405"/>
        <w:jc w:val="left"/>
        <w:rPr>
          <w:rFonts w:ascii="宋体" w:hAnsi="宋体"/>
          <w:sz w:val="21"/>
          <w:szCs w:val="21"/>
        </w:rPr>
      </w:pPr>
      <w:r>
        <w:rPr>
          <w:rFonts w:hint="eastAsia" w:ascii="宋体" w:hAnsi="宋体"/>
          <w:sz w:val="21"/>
          <w:szCs w:val="21"/>
        </w:rPr>
        <w:t>3、技术资料要求：提供完整的技术资料，包括：产品验收标准（含产品合格证验收清单等）；技术说明书；使用说明书；用户手册；设备安装调试资料、维修线路原理图及其维修资料；零部件目录；配置清单、分项价格及耗材价格；备品备件易耗件清单及合同中要求的其他文件资料。进口设备须提供设备的报关单、关税单、商检证明材料（加盖供应商公章）。</w:t>
      </w:r>
    </w:p>
    <w:p>
      <w:pPr>
        <w:spacing w:line="360" w:lineRule="auto"/>
        <w:ind w:firstLine="420" w:firstLineChars="200"/>
        <w:rPr>
          <w:rFonts w:ascii="宋体" w:hAnsi="宋体"/>
          <w:sz w:val="21"/>
          <w:szCs w:val="21"/>
        </w:rPr>
      </w:pPr>
      <w:r>
        <w:rPr>
          <w:rFonts w:hint="eastAsia" w:ascii="宋体" w:hAnsi="宋体"/>
          <w:sz w:val="21"/>
          <w:szCs w:val="21"/>
        </w:rPr>
        <w:t>4、免费为用户提供培训（含培训资料等）。</w:t>
      </w:r>
    </w:p>
    <w:p>
      <w:pPr>
        <w:widowControl/>
        <w:spacing w:line="360" w:lineRule="auto"/>
        <w:ind w:firstLine="405"/>
        <w:jc w:val="left"/>
        <w:rPr>
          <w:rFonts w:ascii="宋体" w:hAnsi="宋体"/>
          <w:sz w:val="21"/>
          <w:szCs w:val="21"/>
        </w:rPr>
      </w:pPr>
      <w:r>
        <w:rPr>
          <w:rFonts w:hint="eastAsia" w:ascii="宋体" w:hAnsi="宋体"/>
          <w:sz w:val="21"/>
          <w:szCs w:val="21"/>
        </w:rPr>
        <w:t>5、采购人使用该货物的任何一部分，当受第三方提出的侵犯其专利权、商标权或工业设计权的投诉时，一切后果由供应商负责。</w:t>
      </w:r>
    </w:p>
    <w:p>
      <w:pPr>
        <w:spacing w:line="360" w:lineRule="auto"/>
        <w:ind w:firstLine="422" w:firstLineChars="200"/>
        <w:rPr>
          <w:rFonts w:ascii="宋体" w:hAnsi="宋体"/>
          <w:b/>
          <w:sz w:val="21"/>
          <w:szCs w:val="21"/>
        </w:rPr>
      </w:pPr>
      <w:r>
        <w:rPr>
          <w:rFonts w:hint="eastAsia" w:ascii="宋体" w:hAnsi="宋体"/>
          <w:b/>
          <w:sz w:val="21"/>
          <w:szCs w:val="21"/>
        </w:rPr>
        <w:t>（二）、安装要求</w:t>
      </w:r>
    </w:p>
    <w:p>
      <w:pPr>
        <w:widowControl/>
        <w:spacing w:line="360" w:lineRule="auto"/>
        <w:ind w:firstLine="405"/>
        <w:jc w:val="left"/>
        <w:rPr>
          <w:rFonts w:ascii="宋体" w:hAnsi="宋体"/>
          <w:sz w:val="21"/>
          <w:szCs w:val="21"/>
        </w:rPr>
      </w:pPr>
      <w:r>
        <w:rPr>
          <w:rFonts w:hint="eastAsia" w:ascii="宋体" w:hAnsi="宋体"/>
          <w:sz w:val="21"/>
          <w:szCs w:val="21"/>
        </w:rPr>
        <w:t xml:space="preserve">1、供应商要在提供完整、可靠设备的同时，还需为整个系统提供规范、达标的安装、调试工作。安装所需的仪器和专用工具由供应商自备。通过供应商提供的设备和安装服务，能满足采购人的要求。 </w:t>
      </w:r>
    </w:p>
    <w:p>
      <w:pPr>
        <w:widowControl/>
        <w:spacing w:line="360" w:lineRule="auto"/>
        <w:ind w:firstLine="405"/>
        <w:jc w:val="left"/>
        <w:rPr>
          <w:rFonts w:ascii="宋体" w:hAnsi="宋体"/>
          <w:sz w:val="21"/>
          <w:szCs w:val="21"/>
        </w:rPr>
      </w:pPr>
      <w:r>
        <w:rPr>
          <w:rFonts w:hint="eastAsia" w:ascii="宋体" w:hAnsi="宋体"/>
          <w:sz w:val="21"/>
          <w:szCs w:val="21"/>
        </w:rPr>
        <w:t>2、供应商负责派</w:t>
      </w:r>
      <w:r>
        <w:rPr>
          <w:rFonts w:hint="eastAsia" w:ascii="宋体" w:hAnsi="宋体"/>
          <w:b/>
          <w:bCs/>
          <w:sz w:val="21"/>
          <w:szCs w:val="21"/>
        </w:rPr>
        <w:t>原厂技术人员</w:t>
      </w:r>
      <w:r>
        <w:rPr>
          <w:rFonts w:hint="eastAsia" w:ascii="宋体" w:hAnsi="宋体"/>
          <w:sz w:val="21"/>
          <w:szCs w:val="21"/>
        </w:rPr>
        <w:t>到现场进行安装调试，直至验收合格；供应商应在货物抵达现场时，向采购人提供安装调试及运行的进度计划表。</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3、验收：由供应商、使用科室、验收科室三方在场共同验收。</w:t>
      </w:r>
    </w:p>
    <w:p>
      <w:pPr>
        <w:widowControl/>
        <w:spacing w:line="360" w:lineRule="auto"/>
        <w:ind w:firstLine="405"/>
        <w:jc w:val="left"/>
        <w:rPr>
          <w:rFonts w:ascii="宋体" w:hAnsi="宋体"/>
          <w:sz w:val="21"/>
          <w:szCs w:val="21"/>
        </w:rPr>
      </w:pPr>
      <w:r>
        <w:rPr>
          <w:rFonts w:hint="eastAsia" w:ascii="宋体" w:hAnsi="宋体"/>
          <w:sz w:val="21"/>
          <w:szCs w:val="21"/>
        </w:rPr>
        <w:t>（三）、服务要求</w:t>
      </w:r>
    </w:p>
    <w:p>
      <w:pPr>
        <w:widowControl/>
        <w:spacing w:line="360" w:lineRule="auto"/>
        <w:ind w:firstLine="405"/>
        <w:jc w:val="left"/>
        <w:rPr>
          <w:rFonts w:ascii="宋体" w:hAnsi="宋体"/>
          <w:sz w:val="21"/>
          <w:szCs w:val="21"/>
        </w:rPr>
      </w:pPr>
      <w:r>
        <w:rPr>
          <w:rFonts w:hint="eastAsia" w:ascii="宋体" w:hAnsi="宋体"/>
          <w:sz w:val="21"/>
          <w:szCs w:val="21"/>
        </w:rPr>
        <w:t>1、供应商报价时须承诺所供货物</w:t>
      </w:r>
      <w:r>
        <w:rPr>
          <w:rFonts w:hint="eastAsia" w:asciiTheme="minorEastAsia" w:hAnsiTheme="minorEastAsia"/>
          <w:sz w:val="21"/>
          <w:szCs w:val="21"/>
        </w:rPr>
        <w:t>免费质保期为一年，</w:t>
      </w:r>
      <w:r>
        <w:rPr>
          <w:rFonts w:hint="eastAsia" w:ascii="宋体" w:hAnsi="宋体"/>
          <w:sz w:val="21"/>
          <w:szCs w:val="21"/>
        </w:rPr>
        <w:t>（自验收报告签字确认日起，开始进入质保期），质保期内、外承诺货物均由原厂技术人员进行维护保养。</w:t>
      </w:r>
    </w:p>
    <w:p>
      <w:pPr>
        <w:widowControl/>
        <w:spacing w:line="360" w:lineRule="auto"/>
        <w:ind w:firstLine="405"/>
        <w:jc w:val="left"/>
        <w:rPr>
          <w:rFonts w:ascii="宋体" w:hAnsi="宋体"/>
          <w:sz w:val="21"/>
          <w:szCs w:val="21"/>
        </w:rPr>
      </w:pPr>
      <w:r>
        <w:rPr>
          <w:rFonts w:hint="eastAsia" w:ascii="宋体" w:hAnsi="宋体"/>
          <w:sz w:val="21"/>
          <w:szCs w:val="21"/>
        </w:rPr>
        <w:t>2、故障响应时间：在保修期内有问题做到及时处理，出现质量问题时或故障时，响应时间为4小时，遇到紧急突发事件远程无法解决，工程师应在8小时内到达现场并排除故障。</w:t>
      </w:r>
    </w:p>
    <w:p>
      <w:pPr>
        <w:widowControl/>
        <w:spacing w:line="360" w:lineRule="auto"/>
        <w:ind w:firstLine="405"/>
        <w:jc w:val="left"/>
        <w:rPr>
          <w:rFonts w:ascii="宋体" w:hAnsi="宋体"/>
          <w:sz w:val="21"/>
          <w:szCs w:val="21"/>
        </w:rPr>
      </w:pPr>
      <w:r>
        <w:rPr>
          <w:rFonts w:hint="eastAsia" w:ascii="宋体" w:hAnsi="宋体"/>
          <w:sz w:val="21"/>
          <w:szCs w:val="21"/>
        </w:rPr>
        <w:t>3、质保期内如同一故障发生三次，或在2月内无法修复，供应商无条件换货，立即更换新机。终生提供免费维护和保养服务（免收人工费），质保期后零配件、耗材在成本费的基础上按承诺优惠率收取。</w:t>
      </w:r>
    </w:p>
    <w:p>
      <w:pPr>
        <w:widowControl/>
        <w:spacing w:line="360" w:lineRule="auto"/>
        <w:ind w:firstLine="405"/>
        <w:jc w:val="left"/>
        <w:rPr>
          <w:rFonts w:ascii="宋体" w:hAnsi="宋体"/>
          <w:sz w:val="21"/>
          <w:szCs w:val="21"/>
        </w:rPr>
      </w:pPr>
      <w:r>
        <w:rPr>
          <w:rFonts w:hint="eastAsia" w:ascii="宋体" w:hAnsi="宋体"/>
          <w:sz w:val="21"/>
          <w:szCs w:val="21"/>
        </w:rPr>
        <w:t>（四）、其他要求</w:t>
      </w:r>
    </w:p>
    <w:p>
      <w:pPr>
        <w:widowControl/>
        <w:spacing w:line="360" w:lineRule="auto"/>
        <w:ind w:firstLine="405"/>
        <w:jc w:val="left"/>
        <w:rPr>
          <w:rFonts w:ascii="宋体" w:hAnsi="宋体"/>
          <w:sz w:val="21"/>
          <w:szCs w:val="21"/>
        </w:rPr>
      </w:pPr>
      <w:r>
        <w:rPr>
          <w:rFonts w:hint="eastAsia" w:ascii="宋体" w:hAnsi="宋体"/>
          <w:sz w:val="21"/>
          <w:szCs w:val="21"/>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widowControl/>
        <w:spacing w:line="360" w:lineRule="auto"/>
        <w:ind w:firstLine="405"/>
        <w:jc w:val="left"/>
        <w:rPr>
          <w:rFonts w:ascii="宋体" w:hAnsi="宋体"/>
          <w:sz w:val="21"/>
          <w:szCs w:val="21"/>
        </w:rPr>
      </w:pPr>
      <w:r>
        <w:rPr>
          <w:rFonts w:hint="eastAsia" w:ascii="宋体" w:hAnsi="宋体"/>
          <w:sz w:val="21"/>
          <w:szCs w:val="21"/>
        </w:rPr>
        <w:t>2、设备必须为全新正品行货和正版软件，供货前必须提供</w:t>
      </w:r>
      <w:r>
        <w:rPr>
          <w:rFonts w:ascii="宋体" w:hAnsi="宋体"/>
          <w:sz w:val="21"/>
          <w:szCs w:val="21"/>
        </w:rPr>
        <w:t>设备</w:t>
      </w:r>
      <w:r>
        <w:rPr>
          <w:rFonts w:hint="eastAsia" w:ascii="宋体" w:hAnsi="宋体"/>
          <w:sz w:val="21"/>
          <w:szCs w:val="21"/>
        </w:rPr>
        <w:t>原厂商出具的针对本项目的质保函或全国质保三包凭证，不能提供相关证明材料合同不予签订。</w:t>
      </w:r>
    </w:p>
    <w:p>
      <w:pPr>
        <w:widowControl/>
        <w:spacing w:line="360" w:lineRule="auto"/>
        <w:ind w:firstLine="405"/>
        <w:jc w:val="left"/>
        <w:rPr>
          <w:rFonts w:ascii="宋体" w:hAnsi="宋体"/>
          <w:sz w:val="21"/>
          <w:szCs w:val="21"/>
        </w:rPr>
      </w:pPr>
      <w:r>
        <w:rPr>
          <w:rFonts w:hint="eastAsia" w:ascii="宋体" w:hAnsi="宋体"/>
          <w:sz w:val="21"/>
          <w:szCs w:val="21"/>
        </w:rPr>
        <w:t>3、中标供应商负责与采购人需要满足改造后实验环境和设备的无缝对接，在签订合同时提供书面服务承诺函。（若无改造实验环境可忽略此条）</w:t>
      </w:r>
    </w:p>
    <w:p>
      <w:pPr>
        <w:spacing w:line="360" w:lineRule="auto"/>
        <w:ind w:firstLine="420"/>
        <w:rPr>
          <w:rFonts w:ascii="宋体" w:hAnsi="宋体"/>
          <w:b/>
          <w:sz w:val="21"/>
          <w:szCs w:val="21"/>
        </w:rPr>
      </w:pPr>
      <w:r>
        <w:rPr>
          <w:rFonts w:hint="eastAsia" w:ascii="宋体" w:hAnsi="宋体"/>
          <w:b/>
          <w:sz w:val="21"/>
          <w:szCs w:val="21"/>
        </w:rPr>
        <w:t>（五）付款条件：</w:t>
      </w:r>
    </w:p>
    <w:p>
      <w:pPr>
        <w:autoSpaceDE w:val="0"/>
        <w:autoSpaceDN w:val="0"/>
        <w:adjustRightInd w:val="0"/>
        <w:spacing w:line="360" w:lineRule="auto"/>
        <w:ind w:firstLine="420" w:firstLineChars="200"/>
        <w:outlineLvl w:val="0"/>
        <w:rPr>
          <w:rFonts w:ascii="宋体" w:hAnsi="宋体"/>
          <w:sz w:val="21"/>
          <w:szCs w:val="21"/>
        </w:rPr>
      </w:pPr>
      <w:r>
        <w:rPr>
          <w:rFonts w:hint="eastAsia" w:ascii="宋体" w:hAnsi="宋体"/>
          <w:sz w:val="21"/>
          <w:szCs w:val="21"/>
        </w:rPr>
        <w:t>货到、安装、验收合格后一次性付清货款。</w:t>
      </w:r>
      <w:bookmarkStart w:id="0" w:name="_Toc43902852"/>
    </w:p>
    <w:bookmarkEnd w:id="0"/>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EC9F8"/>
    <w:multiLevelType w:val="singleLevel"/>
    <w:tmpl w:val="B75EC9F8"/>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章"/>
      <w:lvlJc w:val="left"/>
      <w:pPr>
        <w:ind w:left="3780" w:firstLine="0"/>
      </w:pPr>
    </w:lvl>
    <w:lvl w:ilvl="1" w:tentative="0">
      <w:start w:val="1"/>
      <w:numFmt w:val="none"/>
      <w:suff w:val="nothing"/>
      <w:lvlText w:val=""/>
      <w:lvlJc w:val="left"/>
      <w:pPr>
        <w:ind w:left="3780" w:firstLine="0"/>
      </w:pPr>
    </w:lvl>
    <w:lvl w:ilvl="2" w:tentative="0">
      <w:start w:val="1"/>
      <w:numFmt w:val="none"/>
      <w:suff w:val="nothing"/>
      <w:lvlText w:val=""/>
      <w:lvlJc w:val="left"/>
      <w:pPr>
        <w:ind w:left="3780" w:firstLine="0"/>
      </w:pPr>
    </w:lvl>
    <w:lvl w:ilvl="3" w:tentative="0">
      <w:start w:val="1"/>
      <w:numFmt w:val="none"/>
      <w:suff w:val="nothing"/>
      <w:lvlText w:val=""/>
      <w:lvlJc w:val="left"/>
      <w:pPr>
        <w:ind w:left="3780" w:firstLine="0"/>
      </w:pPr>
    </w:lvl>
    <w:lvl w:ilvl="4" w:tentative="0">
      <w:start w:val="1"/>
      <w:numFmt w:val="none"/>
      <w:suff w:val="nothing"/>
      <w:lvlText w:val=""/>
      <w:lvlJc w:val="left"/>
      <w:pPr>
        <w:ind w:left="3780" w:firstLine="0"/>
      </w:pPr>
    </w:lvl>
    <w:lvl w:ilvl="5" w:tentative="0">
      <w:start w:val="1"/>
      <w:numFmt w:val="none"/>
      <w:suff w:val="nothing"/>
      <w:lvlText w:val=""/>
      <w:lvlJc w:val="left"/>
      <w:pPr>
        <w:ind w:left="3780" w:firstLine="0"/>
      </w:pPr>
    </w:lvl>
    <w:lvl w:ilvl="6" w:tentative="0">
      <w:start w:val="1"/>
      <w:numFmt w:val="none"/>
      <w:suff w:val="nothing"/>
      <w:lvlText w:val=""/>
      <w:lvlJc w:val="left"/>
      <w:pPr>
        <w:ind w:left="3780" w:firstLine="0"/>
      </w:pPr>
    </w:lvl>
    <w:lvl w:ilvl="7" w:tentative="0">
      <w:start w:val="1"/>
      <w:numFmt w:val="none"/>
      <w:suff w:val="nothing"/>
      <w:lvlText w:val=""/>
      <w:lvlJc w:val="left"/>
      <w:pPr>
        <w:ind w:left="3780" w:firstLine="0"/>
      </w:pPr>
    </w:lvl>
    <w:lvl w:ilvl="8" w:tentative="0">
      <w:start w:val="1"/>
      <w:numFmt w:val="none"/>
      <w:suff w:val="nothing"/>
      <w:lvlText w:val=""/>
      <w:lvlJc w:val="left"/>
      <w:pPr>
        <w:ind w:left="3780" w:firstLine="0"/>
      </w:pPr>
    </w:lvl>
  </w:abstractNum>
  <w:abstractNum w:abstractNumId="2">
    <w:nsid w:val="041BBCFB"/>
    <w:multiLevelType w:val="singleLevel"/>
    <w:tmpl w:val="041BBCFB"/>
    <w:lvl w:ilvl="0" w:tentative="0">
      <w:start w:val="1"/>
      <w:numFmt w:val="decimal"/>
      <w:lvlText w:val="(%1)"/>
      <w:lvlJc w:val="left"/>
      <w:pPr>
        <w:ind w:left="425" w:hanging="425"/>
      </w:pPr>
      <w:rPr>
        <w:rFonts w:hint="default"/>
      </w:rPr>
    </w:lvl>
  </w:abstractNum>
  <w:abstractNum w:abstractNumId="3">
    <w:nsid w:val="181D9A65"/>
    <w:multiLevelType w:val="singleLevel"/>
    <w:tmpl w:val="181D9A65"/>
    <w:lvl w:ilvl="0" w:tentative="0">
      <w:start w:val="1"/>
      <w:numFmt w:val="chineseCounting"/>
      <w:suff w:val="nothing"/>
      <w:lvlText w:val="%1、"/>
      <w:lvlJc w:val="left"/>
      <w:pPr>
        <w:ind w:left="0" w:firstLine="420"/>
      </w:pPr>
      <w:rPr>
        <w:rFonts w:hint="eastAsia"/>
      </w:rPr>
    </w:lvl>
  </w:abstractNum>
  <w:abstractNum w:abstractNumId="4">
    <w:nsid w:val="75983609"/>
    <w:multiLevelType w:val="singleLevel"/>
    <w:tmpl w:val="75983609"/>
    <w:lvl w:ilvl="0" w:tentative="0">
      <w:start w:val="2"/>
      <w:numFmt w:val="chineseCounting"/>
      <w:suff w:val="nothing"/>
      <w:lvlText w:val="%1、"/>
      <w:lvlJc w:val="left"/>
      <w:rPr>
        <w:rFonts w:hint="eastAsia"/>
      </w:rPr>
    </w:lvl>
  </w:abstractNum>
  <w:abstractNum w:abstractNumId="5">
    <w:nsid w:val="77F833FE"/>
    <w:multiLevelType w:val="multilevel"/>
    <w:tmpl w:val="77F833FE"/>
    <w:lvl w:ilvl="0" w:tentative="0">
      <w:start w:val="1"/>
      <w:numFmt w:val="decimal"/>
      <w:lvlText w:val="%1、"/>
      <w:lvlJc w:val="left"/>
      <w:pPr>
        <w:ind w:left="1440" w:hanging="720"/>
      </w:pPr>
      <w:rPr>
        <w:rFonts w:hint="default"/>
      </w:rPr>
    </w:lvl>
    <w:lvl w:ilvl="1" w:tentative="0">
      <w:start w:val="5"/>
      <w:numFmt w:val="japaneseCounting"/>
      <w:lvlText w:val="%2、"/>
      <w:lvlJc w:val="left"/>
      <w:pPr>
        <w:ind w:left="906" w:hanging="480"/>
      </w:pPr>
      <w:rPr>
        <w:rFonts w:hint="default"/>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YTFjNzVmYzNhNjA3MWQ0YTBhYzFhMjk4MTY1ZTQifQ=="/>
  </w:docVars>
  <w:rsids>
    <w:rsidRoot w:val="40C057BF"/>
    <w:rsid w:val="000D53AE"/>
    <w:rsid w:val="00187922"/>
    <w:rsid w:val="003E69C5"/>
    <w:rsid w:val="0044703A"/>
    <w:rsid w:val="004C4AD1"/>
    <w:rsid w:val="004F4AA0"/>
    <w:rsid w:val="00691F86"/>
    <w:rsid w:val="0079068D"/>
    <w:rsid w:val="00AD4E2D"/>
    <w:rsid w:val="00B72388"/>
    <w:rsid w:val="00E6515B"/>
    <w:rsid w:val="00EC1D45"/>
    <w:rsid w:val="00ED2215"/>
    <w:rsid w:val="00F667B4"/>
    <w:rsid w:val="085B6469"/>
    <w:rsid w:val="13420368"/>
    <w:rsid w:val="17A80105"/>
    <w:rsid w:val="17D83765"/>
    <w:rsid w:val="1E9768E8"/>
    <w:rsid w:val="2252126F"/>
    <w:rsid w:val="234A012F"/>
    <w:rsid w:val="242D5F16"/>
    <w:rsid w:val="271176BC"/>
    <w:rsid w:val="318428B9"/>
    <w:rsid w:val="35C60F8F"/>
    <w:rsid w:val="37897BA3"/>
    <w:rsid w:val="3A4B6D2E"/>
    <w:rsid w:val="40C057BF"/>
    <w:rsid w:val="454B5EA8"/>
    <w:rsid w:val="45B767C8"/>
    <w:rsid w:val="4C884016"/>
    <w:rsid w:val="55367073"/>
    <w:rsid w:val="56986F31"/>
    <w:rsid w:val="60904C44"/>
    <w:rsid w:val="6947038F"/>
    <w:rsid w:val="6C835BCB"/>
    <w:rsid w:val="715716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0"/>
    <w:pPr>
      <w:jc w:val="left"/>
    </w:pPr>
  </w:style>
  <w:style w:type="paragraph" w:styleId="4">
    <w:name w:val="Body Text"/>
    <w:basedOn w:val="1"/>
    <w:semiHidden/>
    <w:unhideWhenUsed/>
    <w:qFormat/>
    <w:uiPriority w:val="99"/>
    <w:pPr>
      <w:spacing w:after="120"/>
    </w:pPr>
  </w:style>
  <w:style w:type="paragraph" w:styleId="5">
    <w:name w:val="index 4"/>
    <w:basedOn w:val="1"/>
    <w:next w:val="1"/>
    <w:qFormat/>
    <w:uiPriority w:val="0"/>
    <w:pPr>
      <w:ind w:left="600" w:leftChars="600"/>
    </w:pPr>
    <w:rPr>
      <w:rFonts w:ascii="Calibri" w:hAnsi="Calibri"/>
    </w:rPr>
  </w:style>
  <w:style w:type="paragraph" w:styleId="6">
    <w:name w:val="Balloon Text"/>
    <w:basedOn w:val="1"/>
    <w:link w:val="20"/>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3"/>
    <w:next w:val="3"/>
    <w:link w:val="22"/>
    <w:qFormat/>
    <w:uiPriority w:val="0"/>
    <w:rPr>
      <w:b/>
      <w:bCs/>
    </w:rPr>
  </w:style>
  <w:style w:type="paragraph" w:styleId="11">
    <w:name w:val="Body Text First Indent"/>
    <w:basedOn w:val="4"/>
    <w:semiHidden/>
    <w:unhideWhenUsed/>
    <w:qFormat/>
    <w:uiPriority w:val="99"/>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qFormat/>
    <w:uiPriority w:val="0"/>
    <w:rPr>
      <w:sz w:val="21"/>
      <w:szCs w:val="21"/>
    </w:rPr>
  </w:style>
  <w:style w:type="paragraph" w:customStyle="1" w:styleId="16">
    <w:name w:val="首行缩进"/>
    <w:basedOn w:val="1"/>
    <w:qFormat/>
    <w:uiPriority w:val="0"/>
    <w:pPr>
      <w:ind w:firstLine="480" w:firstLineChars="200"/>
    </w:pPr>
    <w:rPr>
      <w:lang w:val="zh-CN"/>
    </w:rPr>
  </w:style>
  <w:style w:type="paragraph" w:styleId="17">
    <w:name w:val="List Paragraph"/>
    <w:basedOn w:val="1"/>
    <w:qFormat/>
    <w:uiPriority w:val="34"/>
    <w:pPr>
      <w:ind w:firstLine="420" w:firstLineChars="200"/>
    </w:pPr>
    <w:rPr>
      <w:rFonts w:ascii="Calibri" w:hAnsi="Calibri"/>
    </w:rPr>
  </w:style>
  <w:style w:type="character" w:customStyle="1" w:styleId="18">
    <w:name w:val="页眉 Char"/>
    <w:basedOn w:val="14"/>
    <w:link w:val="8"/>
    <w:qFormat/>
    <w:uiPriority w:val="0"/>
    <w:rPr>
      <w:rFonts w:ascii="Times New Roman" w:hAnsi="Times New Roman" w:eastAsia="宋体" w:cs="Times New Roman"/>
      <w:kern w:val="2"/>
      <w:sz w:val="18"/>
      <w:szCs w:val="18"/>
    </w:rPr>
  </w:style>
  <w:style w:type="character" w:customStyle="1" w:styleId="19">
    <w:name w:val="页脚 Char"/>
    <w:basedOn w:val="14"/>
    <w:link w:val="7"/>
    <w:qFormat/>
    <w:uiPriority w:val="0"/>
    <w:rPr>
      <w:rFonts w:ascii="Times New Roman" w:hAnsi="Times New Roman" w:eastAsia="宋体" w:cs="Times New Roman"/>
      <w:kern w:val="2"/>
      <w:sz w:val="18"/>
      <w:szCs w:val="18"/>
    </w:rPr>
  </w:style>
  <w:style w:type="character" w:customStyle="1" w:styleId="20">
    <w:name w:val="批注框文本 Char"/>
    <w:basedOn w:val="14"/>
    <w:link w:val="6"/>
    <w:qFormat/>
    <w:uiPriority w:val="0"/>
    <w:rPr>
      <w:rFonts w:ascii="Times New Roman" w:hAnsi="Times New Roman" w:eastAsia="宋体" w:cs="Times New Roman"/>
      <w:kern w:val="2"/>
      <w:sz w:val="18"/>
      <w:szCs w:val="18"/>
    </w:rPr>
  </w:style>
  <w:style w:type="character" w:customStyle="1" w:styleId="21">
    <w:name w:val="批注文字 Char"/>
    <w:basedOn w:val="14"/>
    <w:link w:val="3"/>
    <w:qFormat/>
    <w:uiPriority w:val="0"/>
    <w:rPr>
      <w:rFonts w:ascii="Times New Roman" w:hAnsi="Times New Roman" w:eastAsia="宋体" w:cs="Times New Roman"/>
      <w:kern w:val="2"/>
      <w:sz w:val="21"/>
    </w:rPr>
  </w:style>
  <w:style w:type="character" w:customStyle="1" w:styleId="22">
    <w:name w:val="批注主题 Char"/>
    <w:basedOn w:val="21"/>
    <w:link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6496</Words>
  <Characters>6913</Characters>
  <Lines>49</Lines>
  <Paragraphs>14</Paragraphs>
  <TotalTime>2</TotalTime>
  <ScaleCrop>false</ScaleCrop>
  <LinksUpToDate>false</LinksUpToDate>
  <CharactersWithSpaces>6967</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2022-07-25T02:15:00Z</dcterms:created>
  <dc:creator>qzuser</dc:creator>
  <cp:lastModifiedBy>旖旎</cp:lastModifiedBy>
  <dcterms:modified xsi:type="dcterms:W3CDTF">2022-08-12T01:14:53Z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76BE45A394D24CBD906E446303C3CA1C</vt:lpwstr>
  </property>
</Properties>
</file>