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6"/>
          <w:szCs w:val="56"/>
        </w:rPr>
      </w:pPr>
    </w:p>
    <w:p>
      <w:pPr>
        <w:spacing w:line="360" w:lineRule="auto"/>
        <w:jc w:val="center"/>
        <w:rPr>
          <w:rFonts w:hint="eastAsia" w:eastAsia="黑体"/>
          <w:b/>
          <w:bCs/>
          <w:sz w:val="56"/>
          <w:szCs w:val="56"/>
          <w:lang w:val="en-US" w:eastAsia="zh-CN"/>
        </w:rPr>
      </w:pPr>
      <w:r>
        <w:rPr>
          <w:rFonts w:hint="eastAsia" w:eastAsia="黑体"/>
          <w:b/>
          <w:bCs/>
          <w:sz w:val="56"/>
          <w:szCs w:val="56"/>
        </w:rPr>
        <w:t>南京市疾控中心</w:t>
      </w:r>
      <w:r>
        <w:rPr>
          <w:rFonts w:hint="eastAsia" w:eastAsia="黑体"/>
          <w:b/>
          <w:bCs/>
          <w:sz w:val="56"/>
          <w:szCs w:val="56"/>
          <w:lang w:eastAsia="zh-CN"/>
        </w:rPr>
        <w:t>应急服装</w:t>
      </w:r>
      <w:r>
        <w:rPr>
          <w:rFonts w:hint="eastAsia" w:eastAsia="黑体"/>
          <w:b/>
          <w:bCs/>
          <w:sz w:val="56"/>
          <w:szCs w:val="56"/>
          <w:lang w:val="en-US" w:eastAsia="zh-CN"/>
        </w:rPr>
        <w:t xml:space="preserve"> </w:t>
      </w:r>
    </w:p>
    <w:p>
      <w:pPr>
        <w:spacing w:line="360" w:lineRule="auto"/>
        <w:jc w:val="center"/>
        <w:rPr>
          <w:rFonts w:eastAsia="黑体"/>
          <w:b/>
          <w:bCs/>
          <w:sz w:val="56"/>
          <w:szCs w:val="56"/>
        </w:rPr>
      </w:pPr>
      <w:r>
        <w:rPr>
          <w:rFonts w:hint="eastAsia" w:eastAsia="黑体"/>
          <w:b/>
          <w:bCs/>
          <w:sz w:val="56"/>
          <w:szCs w:val="56"/>
        </w:rPr>
        <w:t>采购</w:t>
      </w:r>
      <w:r>
        <w:rPr>
          <w:rFonts w:eastAsia="黑体"/>
          <w:b/>
          <w:bCs/>
          <w:sz w:val="56"/>
          <w:szCs w:val="56"/>
        </w:rPr>
        <w:t>项目</w:t>
      </w: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pPr>
    </w:p>
    <w:p>
      <w:pPr>
        <w:pStyle w:val="2"/>
        <w:ind w:left="1470" w:right="1470"/>
        <w:jc w:val="center"/>
        <w:rPr>
          <w:sz w:val="44"/>
          <w:szCs w:val="44"/>
        </w:rPr>
      </w:pPr>
      <w:r>
        <w:rPr>
          <w:rFonts w:hint="eastAsia"/>
          <w:sz w:val="44"/>
          <w:szCs w:val="44"/>
        </w:rPr>
        <w:t>招标文件</w:t>
      </w: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sz w:val="44"/>
          <w:szCs w:val="44"/>
        </w:rPr>
      </w:pPr>
    </w:p>
    <w:p>
      <w:pPr>
        <w:pStyle w:val="2"/>
        <w:ind w:left="1470" w:right="1470"/>
        <w:jc w:val="center"/>
        <w:rPr>
          <w:sz w:val="44"/>
          <w:szCs w:val="44"/>
        </w:rPr>
      </w:pPr>
    </w:p>
    <w:p>
      <w:pPr>
        <w:spacing w:line="360" w:lineRule="auto"/>
        <w:jc w:val="center"/>
        <w:rPr>
          <w:sz w:val="28"/>
          <w:szCs w:val="28"/>
        </w:rPr>
      </w:pPr>
      <w:r>
        <w:rPr>
          <w:sz w:val="28"/>
          <w:szCs w:val="28"/>
        </w:rPr>
        <w:t>南京市疾病预防控制中心</w:t>
      </w:r>
    </w:p>
    <w:p>
      <w:pPr>
        <w:spacing w:line="360" w:lineRule="auto"/>
        <w:jc w:val="center"/>
        <w:rPr>
          <w:sz w:val="28"/>
          <w:szCs w:val="28"/>
        </w:rPr>
      </w:pPr>
      <w:r>
        <w:rPr>
          <w:rFonts w:hint="eastAsia"/>
          <w:sz w:val="28"/>
          <w:szCs w:val="28"/>
        </w:rPr>
        <w:t>2021年</w:t>
      </w:r>
      <w:r>
        <w:rPr>
          <w:rFonts w:hint="eastAsia"/>
          <w:sz w:val="28"/>
          <w:szCs w:val="28"/>
          <w:lang w:val="en-US" w:eastAsia="zh-CN"/>
        </w:rPr>
        <w:t>11</w:t>
      </w:r>
      <w:r>
        <w:rPr>
          <w:rFonts w:hint="eastAsia"/>
          <w:color w:val="4472C4" w:themeColor="accent5"/>
          <w:sz w:val="28"/>
          <w:szCs w:val="28"/>
          <w14:textFill>
            <w14:solidFill>
              <w14:schemeClr w14:val="accent5"/>
            </w14:solidFill>
          </w14:textFill>
        </w:rPr>
        <w:t>月</w:t>
      </w:r>
      <w:r>
        <w:rPr>
          <w:rFonts w:hint="eastAsia"/>
          <w:color w:val="4472C4" w:themeColor="accent5"/>
          <w:sz w:val="28"/>
          <w:szCs w:val="28"/>
          <w:lang w:val="en-US" w:eastAsia="zh-CN"/>
          <w14:textFill>
            <w14:solidFill>
              <w14:schemeClr w14:val="accent5"/>
            </w14:solidFill>
          </w14:textFill>
        </w:rPr>
        <w:t>8</w:t>
      </w:r>
      <w:r>
        <w:rPr>
          <w:rFonts w:hint="eastAsia"/>
          <w:color w:val="4472C4" w:themeColor="accent5"/>
          <w:sz w:val="28"/>
          <w:szCs w:val="28"/>
          <w14:textFill>
            <w14:solidFill>
              <w14:schemeClr w14:val="accent5"/>
            </w14:solidFill>
          </w14:textFill>
        </w:rPr>
        <w:t>日</w:t>
      </w:r>
    </w:p>
    <w:p>
      <w:pPr>
        <w:pStyle w:val="2"/>
        <w:ind w:left="1470" w:right="1470"/>
        <w:rPr>
          <w:sz w:val="44"/>
          <w:szCs w:val="44"/>
        </w:rPr>
      </w:pPr>
    </w:p>
    <w:p>
      <w:pPr>
        <w:widowControl/>
        <w:numPr>
          <w:ilvl w:val="0"/>
          <w:numId w:val="1"/>
        </w:numPr>
        <w:jc w:val="center"/>
        <w:rPr>
          <w:rFonts w:ascii="宋体" w:hAnsi="宋体"/>
          <w:b/>
          <w:sz w:val="36"/>
          <w:szCs w:val="36"/>
        </w:rPr>
      </w:pPr>
      <w:r>
        <w:rPr>
          <w:rFonts w:hint="eastAsia" w:ascii="宋体" w:hAnsi="宋体"/>
          <w:b/>
          <w:sz w:val="36"/>
          <w:szCs w:val="36"/>
        </w:rPr>
        <w:t>采购公告</w:t>
      </w:r>
    </w:p>
    <w:p>
      <w:pPr>
        <w:pStyle w:val="2"/>
        <w:ind w:left="0" w:leftChars="0" w:right="1470"/>
      </w:pPr>
    </w:p>
    <w:p>
      <w:pPr>
        <w:spacing w:line="360" w:lineRule="auto"/>
        <w:ind w:firstLine="420" w:firstLineChars="200"/>
        <w:rPr>
          <w:rFonts w:ascii="宋体" w:hAnsi="宋体"/>
          <w:szCs w:val="21"/>
        </w:rPr>
      </w:pPr>
      <w:r>
        <w:rPr>
          <w:rFonts w:hint="eastAsia" w:ascii="宋体" w:hAnsi="宋体"/>
          <w:szCs w:val="21"/>
          <w:lang w:eastAsia="zh-CN"/>
        </w:rPr>
        <w:t>应急服装</w:t>
      </w:r>
      <w:r>
        <w:rPr>
          <w:rFonts w:hint="eastAsia" w:ascii="宋体" w:hAnsi="宋体"/>
          <w:szCs w:val="21"/>
          <w:lang w:val="en-US" w:eastAsia="zh-CN"/>
        </w:rPr>
        <w:t xml:space="preserve"> 51套</w:t>
      </w:r>
      <w:r>
        <w:rPr>
          <w:rFonts w:hint="eastAsia" w:ascii="宋体" w:hAnsi="宋体"/>
          <w:szCs w:val="21"/>
        </w:rPr>
        <w:t>，预算</w:t>
      </w:r>
      <w:r>
        <w:rPr>
          <w:rFonts w:hint="eastAsia" w:ascii="宋体" w:hAnsi="宋体"/>
          <w:szCs w:val="21"/>
          <w:lang w:val="en-US" w:eastAsia="zh-CN"/>
        </w:rPr>
        <w:t>6</w:t>
      </w:r>
      <w:r>
        <w:rPr>
          <w:rFonts w:hint="eastAsia" w:ascii="宋体" w:hAnsi="宋体"/>
          <w:szCs w:val="21"/>
        </w:rPr>
        <w:t>万元。不接受进口产品，不接受联合体投标，采用最低价法，欢迎符合资格条件的供应商参加。现将采购工作等相关事宜，公告如下:</w:t>
      </w:r>
    </w:p>
    <w:p>
      <w:pPr>
        <w:numPr>
          <w:ilvl w:val="0"/>
          <w:numId w:val="2"/>
        </w:numPr>
        <w:spacing w:after="120" w:line="360" w:lineRule="auto"/>
        <w:rPr>
          <w:rFonts w:ascii="宋体" w:hAnsi="宋体"/>
          <w:szCs w:val="21"/>
        </w:rPr>
      </w:pPr>
      <w:r>
        <w:rPr>
          <w:rFonts w:hint="eastAsia" w:ascii="宋体" w:hAnsi="宋体"/>
          <w:szCs w:val="21"/>
        </w:rPr>
        <w:t>采购单位及采购联系人：</w:t>
      </w:r>
    </w:p>
    <w:p>
      <w:pPr>
        <w:pStyle w:val="9"/>
        <w:spacing w:line="360" w:lineRule="auto"/>
        <w:ind w:left="862" w:firstLine="0" w:firstLineChars="0"/>
        <w:rPr>
          <w:rFonts w:ascii="宋体" w:hAnsi="宋体"/>
          <w:szCs w:val="21"/>
        </w:rPr>
      </w:pPr>
      <w:r>
        <w:rPr>
          <w:rFonts w:hint="eastAsia" w:ascii="宋体" w:hAnsi="宋体"/>
          <w:szCs w:val="21"/>
        </w:rPr>
        <w:t>南京市疾病预防控制中心采购办联系人：程工联系电话：</w:t>
      </w:r>
      <w:r>
        <w:rPr>
          <w:rFonts w:ascii="宋体" w:hAnsi="宋体"/>
          <w:szCs w:val="21"/>
        </w:rPr>
        <w:t>025-835383</w:t>
      </w:r>
      <w:r>
        <w:rPr>
          <w:rFonts w:hint="eastAsia" w:ascii="宋体" w:hAnsi="宋体"/>
          <w:szCs w:val="21"/>
        </w:rPr>
        <w:t>7</w:t>
      </w:r>
      <w:r>
        <w:rPr>
          <w:rFonts w:ascii="宋体" w:hAnsi="宋体"/>
          <w:szCs w:val="21"/>
        </w:rPr>
        <w:t>5</w:t>
      </w:r>
      <w:r>
        <w:rPr>
          <w:rFonts w:hint="eastAsia" w:ascii="宋体" w:hAnsi="宋体"/>
          <w:szCs w:val="21"/>
        </w:rPr>
        <w:t>。</w:t>
      </w:r>
    </w:p>
    <w:p>
      <w:pPr>
        <w:numPr>
          <w:ilvl w:val="0"/>
          <w:numId w:val="2"/>
        </w:numPr>
        <w:spacing w:after="120" w:line="360" w:lineRule="auto"/>
        <w:rPr>
          <w:rFonts w:ascii="宋体" w:hAnsi="宋体"/>
          <w:szCs w:val="21"/>
        </w:rPr>
      </w:pPr>
      <w:r>
        <w:rPr>
          <w:rFonts w:hint="eastAsia" w:ascii="宋体" w:hAnsi="宋体"/>
          <w:szCs w:val="21"/>
        </w:rPr>
        <w:t>响应时间、地点及其他要求</w:t>
      </w:r>
    </w:p>
    <w:p>
      <w:pPr>
        <w:numPr>
          <w:ilvl w:val="0"/>
          <w:numId w:val="3"/>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3"/>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lang w:val="en-US" w:eastAsia="zh-CN"/>
        </w:rPr>
        <w:t>3</w:t>
      </w:r>
      <w:r>
        <w:rPr>
          <w:rFonts w:hint="eastAsia" w:ascii="宋体" w:hAnsi="宋体"/>
          <w:szCs w:val="21"/>
        </w:rPr>
        <w:t>楼会议室；</w:t>
      </w:r>
    </w:p>
    <w:p>
      <w:pPr>
        <w:numPr>
          <w:ilvl w:val="0"/>
          <w:numId w:val="3"/>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0070C0"/>
          <w:szCs w:val="21"/>
        </w:rPr>
        <w:t>2021</w:t>
      </w:r>
      <w:r>
        <w:rPr>
          <w:rFonts w:hint="eastAsia" w:ascii="宋体" w:hAnsi="宋体"/>
          <w:color w:val="0070C0"/>
          <w:szCs w:val="21"/>
          <w:lang w:val="zh-CN"/>
        </w:rPr>
        <w:t>年</w:t>
      </w:r>
      <w:r>
        <w:rPr>
          <w:rFonts w:ascii="宋体" w:hAnsi="宋体"/>
          <w:color w:val="0070C0"/>
          <w:szCs w:val="21"/>
        </w:rPr>
        <w:t>1</w:t>
      </w:r>
      <w:r>
        <w:rPr>
          <w:rFonts w:hint="eastAsia" w:ascii="宋体" w:hAnsi="宋体"/>
          <w:color w:val="0070C0"/>
          <w:szCs w:val="21"/>
          <w:lang w:val="en-US" w:eastAsia="zh-CN"/>
        </w:rPr>
        <w:t>1</w:t>
      </w:r>
      <w:r>
        <w:rPr>
          <w:rFonts w:hint="eastAsia" w:ascii="宋体" w:hAnsi="宋体"/>
          <w:color w:val="0070C0"/>
          <w:szCs w:val="21"/>
          <w:lang w:val="zh-CN"/>
        </w:rPr>
        <w:t>月</w:t>
      </w:r>
      <w:r>
        <w:rPr>
          <w:rFonts w:hint="eastAsia" w:ascii="宋体" w:hAnsi="宋体"/>
          <w:color w:val="0070C0"/>
          <w:szCs w:val="21"/>
          <w:lang w:val="en-US" w:eastAsia="zh-CN"/>
        </w:rPr>
        <w:t xml:space="preserve">16  </w:t>
      </w:r>
      <w:r>
        <w:rPr>
          <w:rFonts w:hint="eastAsia" w:ascii="宋体" w:hAnsi="宋体"/>
          <w:color w:val="0070C0"/>
          <w:szCs w:val="21"/>
          <w:lang w:val="zh-CN"/>
        </w:rPr>
        <w:t>日上午</w:t>
      </w:r>
      <w:r>
        <w:rPr>
          <w:rFonts w:hint="eastAsia" w:ascii="宋体" w:hAnsi="宋体"/>
          <w:color w:val="0070C0"/>
          <w:szCs w:val="21"/>
        </w:rPr>
        <w:t>9：00（</w:t>
      </w:r>
      <w:r>
        <w:rPr>
          <w:rFonts w:hint="eastAsia" w:ascii="宋体" w:hAnsi="宋体"/>
          <w:szCs w:val="21"/>
        </w:rPr>
        <w:t>北京时间）；</w:t>
      </w:r>
    </w:p>
    <w:p>
      <w:pPr>
        <w:numPr>
          <w:ilvl w:val="0"/>
          <w:numId w:val="3"/>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0070C0"/>
          <w:szCs w:val="21"/>
        </w:rPr>
        <w:t>2021年1</w:t>
      </w:r>
      <w:r>
        <w:rPr>
          <w:rFonts w:hint="eastAsia" w:ascii="宋体" w:hAnsi="宋体"/>
          <w:color w:val="0070C0"/>
          <w:szCs w:val="21"/>
          <w:lang w:val="en-US" w:eastAsia="zh-CN"/>
        </w:rPr>
        <w:t>1</w:t>
      </w:r>
      <w:r>
        <w:rPr>
          <w:rFonts w:hint="eastAsia" w:ascii="宋体" w:hAnsi="宋体"/>
          <w:color w:val="0070C0"/>
          <w:szCs w:val="21"/>
        </w:rPr>
        <w:t>月</w:t>
      </w:r>
      <w:r>
        <w:rPr>
          <w:rFonts w:hint="eastAsia" w:ascii="宋体" w:hAnsi="宋体"/>
          <w:color w:val="0070C0"/>
          <w:szCs w:val="21"/>
          <w:lang w:val="en-US" w:eastAsia="zh-CN"/>
        </w:rPr>
        <w:t xml:space="preserve">16  </w:t>
      </w:r>
      <w:r>
        <w:rPr>
          <w:rFonts w:hint="eastAsia" w:ascii="宋体" w:hAnsi="宋体"/>
          <w:color w:val="0070C0"/>
          <w:szCs w:val="21"/>
        </w:rPr>
        <w:t>日上午9：29</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响应文件所报的响应价格不得超过预算单价及总价，超过预算单价或总价的按无效投标处理。</w:t>
      </w:r>
    </w:p>
    <w:p>
      <w:pPr>
        <w:numPr>
          <w:ilvl w:val="0"/>
          <w:numId w:val="2"/>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0070C0"/>
          <w:szCs w:val="21"/>
        </w:rPr>
        <w:t>20</w:t>
      </w:r>
      <w:r>
        <w:rPr>
          <w:rFonts w:hint="eastAsia" w:ascii="宋体" w:hAnsi="宋体"/>
          <w:color w:val="0070C0"/>
          <w:szCs w:val="21"/>
        </w:rPr>
        <w:t>21年</w:t>
      </w:r>
      <w:r>
        <w:rPr>
          <w:rFonts w:ascii="宋体" w:hAnsi="宋体"/>
          <w:color w:val="0070C0"/>
          <w:szCs w:val="21"/>
        </w:rPr>
        <w:t>1</w:t>
      </w:r>
      <w:r>
        <w:rPr>
          <w:rFonts w:hint="eastAsia" w:ascii="宋体" w:hAnsi="宋体"/>
          <w:color w:val="0070C0"/>
          <w:szCs w:val="21"/>
          <w:lang w:val="en-US" w:eastAsia="zh-CN"/>
        </w:rPr>
        <w:t>1</w:t>
      </w:r>
      <w:r>
        <w:rPr>
          <w:rFonts w:hint="eastAsia" w:ascii="宋体" w:hAnsi="宋体"/>
          <w:color w:val="0070C0"/>
          <w:szCs w:val="21"/>
        </w:rPr>
        <w:t>月</w:t>
      </w:r>
      <w:r>
        <w:rPr>
          <w:rFonts w:hint="eastAsia" w:ascii="宋体" w:hAnsi="宋体"/>
          <w:color w:val="0070C0"/>
          <w:szCs w:val="21"/>
          <w:lang w:val="en-US" w:eastAsia="zh-CN"/>
        </w:rPr>
        <w:t xml:space="preserve">16 </w:t>
      </w:r>
      <w:r>
        <w:rPr>
          <w:rFonts w:hint="eastAsia" w:ascii="宋体" w:hAnsi="宋体"/>
          <w:color w:val="0070C0"/>
          <w:szCs w:val="21"/>
        </w:rPr>
        <w:t>日上午9：3</w:t>
      </w:r>
      <w:r>
        <w:rPr>
          <w:rFonts w:ascii="宋体" w:hAnsi="宋体"/>
          <w:color w:val="0070C0"/>
          <w:szCs w:val="21"/>
        </w:rPr>
        <w:t>0</w:t>
      </w:r>
      <w:r>
        <w:rPr>
          <w:rFonts w:hint="eastAsia" w:ascii="宋体" w:hAnsi="宋体"/>
          <w:szCs w:val="21"/>
        </w:rPr>
        <w:t>南京市疾病预防控制中心（紫竹林3号</w:t>
      </w:r>
      <w:r>
        <w:rPr>
          <w:rFonts w:hint="eastAsia" w:ascii="宋体" w:hAnsi="宋体"/>
          <w:szCs w:val="21"/>
          <w:lang w:val="en-US" w:eastAsia="zh-CN"/>
        </w:rPr>
        <w:t>3</w:t>
      </w:r>
      <w:r>
        <w:rPr>
          <w:rFonts w:hint="eastAsia" w:ascii="宋体" w:hAnsi="宋体"/>
          <w:szCs w:val="21"/>
        </w:rPr>
        <w:t>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w:t>
      </w:r>
      <w:bookmarkStart w:id="0" w:name="_GoBack"/>
      <w:bookmarkEnd w:id="0"/>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）我中心开标前（不得拆标）。评审小组将对供应商资质要求进行审核。</w:t>
      </w:r>
    </w:p>
    <w:p>
      <w:pPr>
        <w:numPr>
          <w:ilvl w:val="0"/>
          <w:numId w:val="2"/>
        </w:numPr>
        <w:spacing w:after="120" w:line="360" w:lineRule="auto"/>
        <w:rPr>
          <w:rFonts w:ascii="宋体" w:hAnsi="宋体"/>
          <w:szCs w:val="21"/>
        </w:rPr>
      </w:pPr>
      <w:r>
        <w:rPr>
          <w:rFonts w:hint="eastAsia" w:ascii="宋体" w:hAnsi="宋体"/>
          <w:szCs w:val="21"/>
          <w:lang w:val="zh-CN"/>
        </w:rPr>
        <w:t>供应商应具备下列资格条件,并提供以下材料的承诺，以及违背承诺自愿承担相关责任的约定（信用承诺）:</w:t>
      </w:r>
    </w:p>
    <w:p>
      <w:pPr>
        <w:pStyle w:val="9"/>
        <w:numPr>
          <w:ilvl w:val="0"/>
          <w:numId w:val="4"/>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9"/>
        <w:numPr>
          <w:ilvl w:val="0"/>
          <w:numId w:val="4"/>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9"/>
        <w:numPr>
          <w:ilvl w:val="0"/>
          <w:numId w:val="4"/>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9"/>
        <w:widowControl/>
        <w:numPr>
          <w:ilvl w:val="0"/>
          <w:numId w:val="4"/>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9"/>
        <w:widowControl/>
        <w:numPr>
          <w:ilvl w:val="0"/>
          <w:numId w:val="4"/>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9"/>
        <w:widowControl/>
        <w:numPr>
          <w:ilvl w:val="0"/>
          <w:numId w:val="4"/>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widowControl/>
        <w:tabs>
          <w:tab w:val="left" w:pos="0"/>
        </w:tabs>
        <w:spacing w:line="360" w:lineRule="auto"/>
        <w:ind w:firstLine="420" w:firstLineChars="200"/>
        <w:rPr>
          <w:rFonts w:ascii="Arial" w:hAnsi="Arial" w:cs="Arial"/>
          <w:bCs/>
          <w:i/>
          <w:iCs/>
          <w:color w:val="FF0000"/>
          <w:spacing w:val="8"/>
          <w:kern w:val="0"/>
          <w:szCs w:val="21"/>
          <w:u w:val="single"/>
        </w:rPr>
      </w:pPr>
      <w:r>
        <w:rPr>
          <w:rFonts w:hint="eastAsia" w:ascii="宋体" w:hAnsi="宋体"/>
          <w:szCs w:val="21"/>
        </w:rPr>
        <w:t>五、其他证明材料：具备一年内或近期案例；具有完善的售后服务体系；具有良好的行业信誉，财务数据运营正常；投标人基本情况简介；项目负责人情况表；其他相关材料。</w:t>
      </w:r>
    </w:p>
    <w:p>
      <w:pPr>
        <w:spacing w:after="120" w:line="360" w:lineRule="auto"/>
        <w:ind w:left="420"/>
        <w:rPr>
          <w:rFonts w:ascii="宋体" w:hAnsi="宋体"/>
          <w:szCs w:val="21"/>
        </w:rPr>
      </w:pPr>
      <w:r>
        <w:rPr>
          <w:rFonts w:hint="eastAsia" w:ascii="宋体" w:hAnsi="宋体"/>
          <w:szCs w:val="21"/>
          <w:lang w:eastAsia="zh-CN"/>
        </w:rPr>
        <w:t>六</w:t>
      </w:r>
      <w:r>
        <w:rPr>
          <w:rFonts w:hint="eastAsia" w:ascii="宋体" w:hAnsi="宋体"/>
          <w:szCs w:val="21"/>
        </w:rPr>
        <w:t>、技术参数见附件</w:t>
      </w:r>
    </w:p>
    <w:p>
      <w:pPr>
        <w:pStyle w:val="10"/>
        <w:ind w:left="420" w:firstLine="0" w:firstLineChars="0"/>
        <w:rPr>
          <w:rFonts w:ascii="宋体" w:hAnsi="宋体"/>
          <w:szCs w:val="21"/>
        </w:rPr>
      </w:pPr>
      <w:r>
        <w:rPr>
          <w:rFonts w:hint="eastAsia" w:ascii="宋体" w:hAnsi="宋体"/>
          <w:szCs w:val="21"/>
          <w:lang w:eastAsia="zh-CN"/>
        </w:rPr>
        <w:t>七</w:t>
      </w:r>
      <w:r>
        <w:rPr>
          <w:rFonts w:hint="eastAsia" w:ascii="宋体" w:hAnsi="宋体"/>
          <w:szCs w:val="21"/>
        </w:rPr>
        <w:t>、注意事项：</w:t>
      </w:r>
    </w:p>
    <w:p>
      <w:pPr>
        <w:spacing w:line="360" w:lineRule="auto"/>
        <w:ind w:left="525" w:leftChars="250"/>
        <w:jc w:val="left"/>
        <w:rPr>
          <w:rFonts w:asciiTheme="minorEastAsia" w:hAnsiTheme="minorEastAsia" w:eastAsiaTheme="minorEastAsia"/>
          <w:szCs w:val="21"/>
        </w:rPr>
      </w:pPr>
      <w:r>
        <w:rPr>
          <w:rFonts w:hint="eastAsia" w:ascii="宋体" w:hAnsi="宋体"/>
          <w:szCs w:val="21"/>
        </w:rPr>
        <w:t>委托人提供身份证原件作为身份核实材料。</w:t>
      </w:r>
    </w:p>
    <w:p>
      <w:pPr>
        <w:pStyle w:val="10"/>
        <w:ind w:left="420" w:firstLine="0" w:firstLineChars="0"/>
        <w:rPr>
          <w:rFonts w:ascii="宋体" w:hAnsi="宋体"/>
          <w:szCs w:val="21"/>
          <w:lang w:val="en-US"/>
        </w:rPr>
      </w:pPr>
    </w:p>
    <w:p>
      <w:pPr>
        <w:spacing w:line="360" w:lineRule="auto"/>
        <w:ind w:left="525" w:leftChars="250"/>
        <w:jc w:val="left"/>
        <w:rPr>
          <w:rFonts w:ascii="宋体" w:hAnsi="宋体"/>
          <w:szCs w:val="21"/>
        </w:rPr>
      </w:pPr>
    </w:p>
    <w:p>
      <w:pPr>
        <w:spacing w:after="120" w:line="360" w:lineRule="auto"/>
        <w:ind w:firstLine="5565" w:firstLineChars="2650"/>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ascii="宋体" w:hAnsi="宋体"/>
          <w:szCs w:val="21"/>
        </w:rPr>
        <w:t xml:space="preserve"> 20</w:t>
      </w:r>
      <w:r>
        <w:rPr>
          <w:rFonts w:hint="eastAsia" w:ascii="宋体" w:hAnsi="宋体"/>
          <w:szCs w:val="21"/>
        </w:rPr>
        <w:t>21年</w:t>
      </w:r>
      <w:r>
        <w:rPr>
          <w:rFonts w:hint="eastAsia" w:ascii="宋体" w:hAnsi="宋体"/>
          <w:szCs w:val="21"/>
          <w:lang w:val="en-US" w:eastAsia="zh-CN"/>
        </w:rPr>
        <w:t>11</w:t>
      </w:r>
      <w:r>
        <w:rPr>
          <w:rFonts w:hint="eastAsia" w:ascii="宋体" w:hAnsi="宋体"/>
          <w:color w:val="0070C0"/>
          <w:szCs w:val="21"/>
        </w:rPr>
        <w:t>月</w:t>
      </w:r>
      <w:r>
        <w:rPr>
          <w:rFonts w:hint="eastAsia" w:ascii="宋体" w:hAnsi="宋体"/>
          <w:color w:val="0070C0"/>
          <w:szCs w:val="21"/>
          <w:lang w:val="en-US" w:eastAsia="zh-CN"/>
        </w:rPr>
        <w:t>8</w:t>
      </w:r>
      <w:r>
        <w:rPr>
          <w:rFonts w:hint="eastAsia" w:ascii="宋体" w:hAnsi="宋体"/>
          <w:color w:val="0070C0"/>
          <w:szCs w:val="21"/>
        </w:rPr>
        <w:t>日</w:t>
      </w: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ascii="宋体" w:hAnsi="宋体"/>
          <w:b/>
          <w:sz w:val="36"/>
          <w:szCs w:val="36"/>
        </w:rPr>
      </w:pPr>
      <w:r>
        <w:rPr>
          <w:rFonts w:hint="eastAsia" w:ascii="宋体" w:hAnsi="宋体"/>
          <w:b/>
          <w:sz w:val="36"/>
          <w:szCs w:val="36"/>
        </w:rPr>
        <w:t>第二章评审标准</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本项目以符合要求，</w:t>
      </w:r>
      <w:r>
        <w:rPr>
          <w:rFonts w:hint="eastAsia" w:ascii="仿宋" w:hAnsi="仿宋" w:eastAsia="仿宋" w:cs="宋体"/>
          <w:sz w:val="24"/>
          <w:szCs w:val="28"/>
        </w:rPr>
        <w:t>总</w:t>
      </w:r>
      <w:r>
        <w:rPr>
          <w:rFonts w:ascii="仿宋" w:hAnsi="仿宋" w:eastAsia="仿宋" w:cs="宋体"/>
          <w:sz w:val="24"/>
          <w:szCs w:val="28"/>
        </w:rPr>
        <w:t>报价最低的原则确定成交供应商（若报价相同的，考虑售后服务、交货期、投标人所售产品的用户反映等各方面因素，进行综合择优确定）。欢迎符合资格条件的供应商参加。</w:t>
      </w: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2"/>
        <w:rPr>
          <w:rFonts w:ascii="仿宋" w:hAnsi="仿宋" w:eastAsia="仿宋" w:cs="宋体"/>
          <w:sz w:val="24"/>
          <w:szCs w:val="28"/>
        </w:rPr>
      </w:pPr>
    </w:p>
    <w:p>
      <w:pPr>
        <w:pStyle w:val="10"/>
        <w:ind w:firstLine="420"/>
      </w:pPr>
    </w:p>
    <w:p>
      <w:pPr>
        <w:pStyle w:val="10"/>
        <w:ind w:firstLine="420"/>
      </w:pPr>
    </w:p>
    <w:p>
      <w:pPr>
        <w:pStyle w:val="10"/>
        <w:ind w:firstLine="420"/>
      </w:pPr>
    </w:p>
    <w:p>
      <w:pPr>
        <w:pStyle w:val="10"/>
        <w:ind w:firstLine="420"/>
      </w:pPr>
    </w:p>
    <w:p>
      <w:pPr>
        <w:numPr>
          <w:ilvl w:val="0"/>
          <w:numId w:val="5"/>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rPr>
          <w:rFonts w:hint="eastAsia" w:ascii="宋体" w:hAnsi="宋体"/>
          <w:b/>
          <w:szCs w:val="21"/>
        </w:rPr>
      </w:pPr>
      <w:r>
        <w:rPr>
          <w:rFonts w:hint="eastAsia" w:ascii="宋体" w:hAnsi="宋体"/>
          <w:b/>
          <w:szCs w:val="21"/>
        </w:rPr>
        <w:t>采购设备数量和技术要求:</w:t>
      </w:r>
    </w:p>
    <w:tbl>
      <w:tblPr>
        <w:tblStyle w:val="6"/>
        <w:tblW w:w="468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44"/>
        <w:gridCol w:w="1235"/>
        <w:gridCol w:w="2349"/>
        <w:gridCol w:w="23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2" w:hRule="atLeast"/>
          <w:jc w:val="center"/>
        </w:trPr>
        <w:tc>
          <w:tcPr>
            <w:tcW w:w="1281" w:type="pct"/>
            <w:tcBorders>
              <w:right w:val="single" w:color="auto" w:sz="4" w:space="0"/>
            </w:tcBorders>
            <w:noWrap w:val="0"/>
            <w:vAlign w:val="center"/>
          </w:tcPr>
          <w:p>
            <w:pPr>
              <w:jc w:val="center"/>
              <w:rPr>
                <w:rFonts w:hint="eastAsia" w:eastAsia="宋体"/>
                <w:lang w:eastAsia="zh-CN"/>
              </w:rPr>
            </w:pPr>
            <w:r>
              <w:rPr>
                <w:rFonts w:hint="eastAsia"/>
                <w:lang w:eastAsia="zh-CN"/>
              </w:rPr>
              <w:t>物资名称</w:t>
            </w:r>
          </w:p>
        </w:tc>
        <w:tc>
          <w:tcPr>
            <w:tcW w:w="774" w:type="pct"/>
            <w:tcBorders>
              <w:left w:val="single" w:color="auto" w:sz="4" w:space="0"/>
              <w:right w:val="single" w:color="auto" w:sz="4" w:space="0"/>
            </w:tcBorders>
            <w:noWrap w:val="0"/>
            <w:vAlign w:val="center"/>
          </w:tcPr>
          <w:p>
            <w:pPr>
              <w:jc w:val="center"/>
              <w:rPr>
                <w:rFonts w:hint="eastAsia"/>
                <w:lang w:eastAsia="zh-CN"/>
              </w:rPr>
            </w:pPr>
            <w:r>
              <w:rPr>
                <w:rFonts w:hint="eastAsia"/>
                <w:lang w:eastAsia="zh-CN"/>
              </w:rPr>
              <w:t>数量（套）</w:t>
            </w:r>
          </w:p>
        </w:tc>
        <w:tc>
          <w:tcPr>
            <w:tcW w:w="1472" w:type="pct"/>
            <w:tcBorders>
              <w:left w:val="single" w:color="auto" w:sz="4" w:space="0"/>
              <w:right w:val="single" w:color="auto" w:sz="4" w:space="0"/>
            </w:tcBorders>
            <w:noWrap w:val="0"/>
            <w:vAlign w:val="center"/>
          </w:tcPr>
          <w:p>
            <w:pPr>
              <w:jc w:val="center"/>
              <w:rPr>
                <w:rFonts w:hint="eastAsia" w:ascii="宋体" w:hAnsi="宋体" w:cs="宋体"/>
                <w:sz w:val="24"/>
                <w:lang w:eastAsia="zh-CN"/>
              </w:rPr>
            </w:pPr>
            <w:r>
              <w:rPr>
                <w:rFonts w:hint="eastAsia"/>
                <w:lang w:eastAsia="zh-CN"/>
              </w:rPr>
              <w:t>图片</w:t>
            </w:r>
          </w:p>
        </w:tc>
        <w:tc>
          <w:tcPr>
            <w:tcW w:w="1471" w:type="pct"/>
            <w:tcBorders>
              <w:left w:val="single" w:color="auto" w:sz="4" w:space="0"/>
              <w:right w:val="single" w:color="auto" w:sz="4" w:space="0"/>
            </w:tcBorders>
            <w:noWrap w:val="0"/>
            <w:vAlign w:val="center"/>
          </w:tcPr>
          <w:p>
            <w:pPr>
              <w:jc w:val="center"/>
              <w:rPr>
                <w:rFonts w:hint="eastAsia" w:ascii="宋体" w:hAnsi="宋体" w:eastAsia="宋体" w:cs="宋体"/>
                <w:sz w:val="24"/>
                <w:lang w:eastAsia="zh-CN"/>
              </w:rPr>
            </w:pPr>
            <w:r>
              <w:rPr>
                <w:rFonts w:hint="eastAsia" w:ascii="宋体" w:hAnsi="宋体" w:cs="宋体"/>
                <w:sz w:val="24"/>
                <w:lang w:eastAsia="zh-CN"/>
              </w:rPr>
              <w:t>技术要求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2" w:hRule="atLeast"/>
          <w:jc w:val="center"/>
        </w:trPr>
        <w:tc>
          <w:tcPr>
            <w:tcW w:w="1281" w:type="pct"/>
            <w:tcBorders>
              <w:right w:val="single" w:color="auto" w:sz="4" w:space="0"/>
            </w:tcBorders>
            <w:noWrap w:val="0"/>
            <w:vAlign w:val="center"/>
          </w:tcPr>
          <w:p>
            <w:pPr>
              <w:jc w:val="center"/>
              <w:rPr>
                <w:rFonts w:hint="eastAsia"/>
              </w:rPr>
            </w:pPr>
            <w:r>
              <w:rPr>
                <w:rFonts w:hint="eastAsia"/>
              </w:rPr>
              <w:t>卫生应急冬装</w:t>
            </w:r>
          </w:p>
          <w:p>
            <w:pPr>
              <w:jc w:val="center"/>
              <w:rPr>
                <w:rFonts w:hint="eastAsia" w:ascii="Times New Roman" w:hAnsi="Times New Roman" w:eastAsia="宋体" w:cs="Times New Roman"/>
                <w:kern w:val="2"/>
                <w:sz w:val="21"/>
                <w:lang w:val="en-US" w:eastAsia="zh-CN" w:bidi="ar-SA"/>
              </w:rPr>
            </w:pPr>
            <w:r>
              <w:rPr>
                <w:rFonts w:hint="eastAsia"/>
              </w:rPr>
              <w:t>（</w:t>
            </w:r>
            <w:r>
              <w:rPr>
                <w:rFonts w:hint="eastAsia"/>
                <w:lang w:eastAsia="zh-CN"/>
              </w:rPr>
              <w:t>含</w:t>
            </w:r>
            <w:r>
              <w:rPr>
                <w:rFonts w:hint="eastAsia"/>
              </w:rPr>
              <w:t>上衣+</w:t>
            </w:r>
            <w:r>
              <w:rPr>
                <w:rFonts w:hint="eastAsia"/>
                <w:lang w:eastAsia="zh-CN"/>
              </w:rPr>
              <w:t>抓绒</w:t>
            </w:r>
            <w:r>
              <w:rPr>
                <w:rFonts w:hint="eastAsia"/>
              </w:rPr>
              <w:t>内胆+冬裤）</w:t>
            </w:r>
          </w:p>
        </w:tc>
        <w:tc>
          <w:tcPr>
            <w:tcW w:w="774" w:type="pct"/>
            <w:tcBorders>
              <w:left w:val="single" w:color="auto" w:sz="4" w:space="0"/>
              <w:right w:val="single" w:color="auto" w:sz="4" w:space="0"/>
            </w:tcBorders>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51</w:t>
            </w:r>
          </w:p>
        </w:tc>
        <w:tc>
          <w:tcPr>
            <w:tcW w:w="1472" w:type="pct"/>
            <w:tcBorders>
              <w:left w:val="single" w:color="auto" w:sz="4" w:space="0"/>
              <w:right w:val="single" w:color="auto" w:sz="4" w:space="0"/>
            </w:tcBorders>
            <w:noWrap w:val="0"/>
            <w:vAlign w:val="center"/>
          </w:tcPr>
          <w:p>
            <w:pPr>
              <w:jc w:val="center"/>
              <w:rPr>
                <w:rFonts w:hint="eastAsia"/>
                <w:color w:val="FF0000"/>
                <w:highlight w:val="yellow"/>
              </w:rPr>
            </w:pPr>
            <w:r>
              <w:rPr>
                <w:rFonts w:hint="eastAsia"/>
                <w:color w:val="FF0000"/>
                <w:highlight w:val="yellow"/>
              </w:rPr>
              <w:t>印字：南京卫生应急</w:t>
            </w:r>
          </w:p>
          <w:p>
            <w:pPr>
              <w:jc w:val="center"/>
              <w:rPr>
                <w:rFonts w:hint="default" w:eastAsia="宋体"/>
                <w:color w:val="FF0000"/>
                <w:highlight w:val="yellow"/>
                <w:lang w:val="en-US" w:eastAsia="zh-CN"/>
              </w:rPr>
            </w:pPr>
            <w:r>
              <w:rPr>
                <w:rFonts w:hint="eastAsia"/>
                <w:color w:val="FF0000"/>
                <w:highlight w:val="yellow"/>
                <w:lang w:val="en-US" w:eastAsia="zh-CN"/>
              </w:rPr>
              <w:t>(可拆卸布条)</w:t>
            </w:r>
          </w:p>
          <w:p>
            <w:pPr>
              <w:jc w:val="center"/>
              <w:rPr>
                <w:rFonts w:hint="eastAsia" w:ascii="宋体" w:hAnsi="宋体" w:cs="宋体"/>
                <w:sz w:val="24"/>
              </w:rPr>
            </w:pPr>
            <w:r>
              <w:rPr>
                <w:rFonts w:ascii="宋体" w:hAnsi="宋体" w:cs="宋体"/>
                <w:sz w:val="24"/>
              </w:rPr>
              <w:fldChar w:fldCharType="begin"/>
            </w:r>
            <w:r>
              <w:rPr>
                <w:rFonts w:ascii="宋体" w:hAnsi="宋体" w:cs="宋体"/>
                <w:sz w:val="24"/>
              </w:rPr>
              <w:instrText xml:space="preserve">INCLUDEPICTURE \d "C:\\Users\\li\\Documents\\Tencent Files\\460626513\\Image\\C2C\\78A8A4C3056EBB22A116CF9D947533F2.jpg" \* MERGEFORMATINET </w:instrText>
            </w:r>
            <w:r>
              <w:rPr>
                <w:rFonts w:ascii="宋体" w:hAnsi="宋体" w:cs="宋体"/>
                <w:sz w:val="24"/>
              </w:rPr>
              <w:fldChar w:fldCharType="separate"/>
            </w:r>
            <w:r>
              <w:rPr>
                <w:rFonts w:ascii="宋体" w:hAnsi="宋体" w:cs="宋体"/>
                <w:sz w:val="24"/>
              </w:rPr>
              <w:drawing>
                <wp:inline distT="0" distB="0" distL="114300" distR="114300">
                  <wp:extent cx="1129665" cy="1160780"/>
                  <wp:effectExtent l="0" t="0" r="13335" b="127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1129665" cy="1160780"/>
                          </a:xfrm>
                          <a:prstGeom prst="rect">
                            <a:avLst/>
                          </a:prstGeom>
                          <a:noFill/>
                          <a:ln>
                            <a:noFill/>
                          </a:ln>
                        </pic:spPr>
                      </pic:pic>
                    </a:graphicData>
                  </a:graphic>
                </wp:inline>
              </w:drawing>
            </w:r>
            <w:r>
              <w:rPr>
                <w:rFonts w:ascii="宋体" w:hAnsi="宋体" w:cs="宋体"/>
                <w:sz w:val="24"/>
              </w:rPr>
              <w:fldChar w:fldCharType="end"/>
            </w:r>
          </w:p>
        </w:tc>
        <w:tc>
          <w:tcPr>
            <w:tcW w:w="1471" w:type="pct"/>
            <w:tcBorders>
              <w:left w:val="single" w:color="auto" w:sz="4" w:space="0"/>
              <w:right w:val="single" w:color="auto" w:sz="4" w:space="0"/>
            </w:tcBorders>
            <w:noWrap w:val="0"/>
            <w:vAlign w:val="center"/>
          </w:tcPr>
          <w:p>
            <w:pPr>
              <w:jc w:val="center"/>
              <w:rPr>
                <w:rFonts w:hint="eastAsia" w:ascii="宋体" w:hAnsi="宋体" w:eastAsia="宋体" w:cs="宋体"/>
                <w:kern w:val="2"/>
                <w:sz w:val="24"/>
                <w:lang w:val="en-US" w:eastAsia="zh-CN" w:bidi="ar-SA"/>
              </w:rPr>
            </w:pPr>
            <w:r>
              <w:rPr>
                <w:rFonts w:hint="eastAsia"/>
              </w:rPr>
              <w:t>符合《中国卫生应急服装技术规范（试行）》（卫应急指导便函【2011】192号）技术要求。</w:t>
            </w:r>
          </w:p>
        </w:tc>
      </w:tr>
    </w:tbl>
    <w:p>
      <w:pPr>
        <w:autoSpaceDE w:val="0"/>
        <w:autoSpaceDN w:val="0"/>
        <w:adjustRightInd w:val="0"/>
        <w:spacing w:line="360" w:lineRule="auto"/>
        <w:rPr>
          <w:rFonts w:asciiTheme="minorEastAsia" w:hAnsiTheme="minorEastAsia"/>
        </w:rPr>
      </w:pPr>
      <w:r>
        <w:rPr>
          <w:rFonts w:hint="eastAsia"/>
          <w:b/>
          <w:bCs/>
        </w:rPr>
        <w:t>注：</w:t>
      </w:r>
      <w:r>
        <w:rPr>
          <w:rFonts w:hint="eastAsia"/>
          <w:b/>
          <w:bCs/>
          <w:lang w:val="en-US" w:eastAsia="zh-CN"/>
        </w:rPr>
        <w:t>1、</w:t>
      </w:r>
      <w:r>
        <w:rPr>
          <w:rFonts w:hint="eastAsia"/>
          <w:b/>
          <w:bCs/>
        </w:rPr>
        <w:t>投标文件中提供技术支持资料（如白皮书、彩页、手册、检测报告等），未提供技术资料的视为未对招标文件实质性要求作出响应，评审时不予以认可。技术支持资料内容须清晰可见。</w:t>
      </w:r>
    </w:p>
    <w:p>
      <w:pPr>
        <w:pStyle w:val="2"/>
        <w:numPr>
          <w:ilvl w:val="0"/>
          <w:numId w:val="6"/>
        </w:numPr>
        <w:ind w:left="0" w:leftChars="0" w:firstLine="422" w:firstLineChars="200"/>
        <w:rPr>
          <w:rFonts w:hint="eastAsia" w:ascii="Times New Roman" w:hAnsi="Times New Roman" w:eastAsia="宋体" w:cs="Times New Roman"/>
          <w:b/>
          <w:bCs/>
          <w:kern w:val="2"/>
          <w:sz w:val="21"/>
          <w:szCs w:val="20"/>
          <w:lang w:val="en-US" w:eastAsia="zh-CN" w:bidi="ar-SA"/>
        </w:rPr>
      </w:pPr>
      <w:r>
        <w:rPr>
          <w:rFonts w:hint="eastAsia" w:ascii="Times New Roman" w:hAnsi="Times New Roman" w:eastAsia="宋体" w:cs="Times New Roman"/>
          <w:b/>
          <w:bCs/>
          <w:kern w:val="2"/>
          <w:sz w:val="21"/>
          <w:szCs w:val="20"/>
          <w:lang w:val="en-US" w:eastAsia="zh-CN" w:bidi="ar-SA"/>
        </w:rPr>
        <w:t>后期按统计尺码供应</w:t>
      </w:r>
    </w:p>
    <w:p>
      <w:pPr>
        <w:pStyle w:val="2"/>
        <w:numPr>
          <w:ilvl w:val="0"/>
          <w:numId w:val="6"/>
        </w:numPr>
        <w:ind w:left="0" w:leftChars="0" w:firstLine="482" w:firstLineChars="200"/>
        <w:rPr>
          <w:rFonts w:hint="eastAsia" w:ascii="Times New Roman" w:hAnsi="Times New Roman" w:eastAsia="宋体" w:cs="Times New Roman"/>
          <w:b/>
          <w:bCs/>
          <w:kern w:val="2"/>
          <w:sz w:val="21"/>
          <w:szCs w:val="20"/>
          <w:u w:val="none"/>
          <w:lang w:val="en-US" w:eastAsia="zh-CN" w:bidi="ar-SA"/>
        </w:rPr>
      </w:pPr>
      <w:r>
        <w:rPr>
          <w:rFonts w:hint="eastAsia" w:ascii="宋体" w:hAnsi="宋体"/>
          <w:b/>
          <w:sz w:val="24"/>
          <w:u w:val="none"/>
        </w:rPr>
        <w:t>提供原厂质量保证期限为壹年</w:t>
      </w:r>
    </w:p>
    <w:p>
      <w:pPr>
        <w:pStyle w:val="10"/>
        <w:ind w:firstLine="0" w:firstLineChars="0"/>
        <w:rPr>
          <w:rFonts w:asciiTheme="minorEastAsia" w:hAnsiTheme="minorEastAsia" w:eastAsiaTheme="minorEastAsia"/>
          <w:szCs w:val="21"/>
        </w:rPr>
      </w:pPr>
    </w:p>
    <w:p>
      <w:pPr>
        <w:pStyle w:val="10"/>
        <w:ind w:firstLine="0" w:firstLineChars="0"/>
        <w:rPr>
          <w:rFonts w:asciiTheme="minorEastAsia" w:hAnsiTheme="minorEastAsia" w:eastAsiaTheme="minorEastAsia"/>
          <w:szCs w:val="21"/>
        </w:rPr>
      </w:pPr>
    </w:p>
    <w:p>
      <w:pPr>
        <w:spacing w:line="360" w:lineRule="auto"/>
        <w:rPr>
          <w:rFonts w:ascii="宋体" w:hAnsi="宋体"/>
          <w:b/>
          <w:szCs w:val="21"/>
        </w:rPr>
      </w:pPr>
      <w:r>
        <w:rPr>
          <w:rFonts w:hint="eastAsia" w:ascii="宋体" w:hAnsi="宋体"/>
          <w:b/>
          <w:szCs w:val="21"/>
        </w:rPr>
        <w:t>三、商务条款部分要求：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460" w:lineRule="exact"/>
        <w:ind w:left="416" w:hanging="415" w:hangingChars="198"/>
        <w:jc w:val="left"/>
        <w:rPr>
          <w:rFonts w:hint="eastAsia" w:ascii="宋体" w:hAnsi="宋体"/>
          <w:szCs w:val="21"/>
        </w:rPr>
      </w:pPr>
      <w:r>
        <w:rPr>
          <w:rFonts w:hint="eastAsia" w:ascii="宋体" w:hAnsi="宋体"/>
          <w:szCs w:val="21"/>
        </w:rPr>
        <w:t xml:space="preserve">    1、交货：合同签订之日起</w:t>
      </w:r>
      <w:r>
        <w:rPr>
          <w:rFonts w:hint="eastAsia" w:ascii="宋体" w:hAnsi="宋体"/>
          <w:szCs w:val="21"/>
          <w:lang w:val="en-US" w:eastAsia="zh-CN"/>
        </w:rPr>
        <w:t>15</w:t>
      </w:r>
      <w:r>
        <w:rPr>
          <w:rFonts w:hint="eastAsia" w:ascii="宋体" w:hAnsi="宋体"/>
          <w:szCs w:val="21"/>
        </w:rPr>
        <w:t>日内完成送货，到货时供应商应现场负责将货物运到采购人指定地点，由此产生的运输和装卸等一切费用由供应商承担。检验不合格或不符合质量要求，供应商除无条件退货、返工外，还应承担由此产生的一切费用。（包括采购人的一切损失）</w:t>
      </w:r>
    </w:p>
    <w:p>
      <w:pPr>
        <w:autoSpaceDE w:val="0"/>
        <w:autoSpaceDN w:val="0"/>
        <w:adjustRightInd w:val="0"/>
        <w:spacing w:line="360" w:lineRule="auto"/>
        <w:ind w:firstLine="420" w:firstLineChars="200"/>
        <w:rPr>
          <w:rFonts w:hint="eastAsia"/>
          <w:b/>
          <w:bCs/>
        </w:rPr>
      </w:pPr>
      <w:r>
        <w:rPr>
          <w:rFonts w:hint="eastAsia" w:ascii="宋体" w:hAnsi="宋体"/>
          <w:szCs w:val="21"/>
          <w:lang w:val="en-US" w:eastAsia="zh-CN"/>
        </w:rPr>
        <w:t xml:space="preserve"> 2、</w:t>
      </w:r>
      <w:r>
        <w:rPr>
          <w:rFonts w:hint="eastAsia" w:ascii="宋体" w:hAnsi="宋体"/>
          <w:szCs w:val="21"/>
        </w:rPr>
        <w:t>提供</w:t>
      </w:r>
      <w:r>
        <w:rPr>
          <w:rFonts w:hint="eastAsia" w:ascii="宋体" w:hAnsi="宋体"/>
          <w:szCs w:val="21"/>
          <w:lang w:val="en-US" w:eastAsia="zh-CN"/>
        </w:rPr>
        <w:t>5份</w:t>
      </w:r>
      <w:r>
        <w:rPr>
          <w:rFonts w:hint="eastAsia" w:ascii="宋体" w:hAnsi="宋体"/>
          <w:szCs w:val="21"/>
        </w:rPr>
        <w:t>自2019年1月1日以来投标人完成的类似合同</w:t>
      </w:r>
      <w:r>
        <w:rPr>
          <w:rFonts w:hint="eastAsia" w:ascii="宋体" w:hAnsi="宋体" w:cs="宋体"/>
          <w:szCs w:val="21"/>
        </w:rPr>
        <w:t>。</w:t>
      </w:r>
    </w:p>
    <w:p>
      <w:pPr>
        <w:spacing w:line="360" w:lineRule="auto"/>
        <w:ind w:firstLine="420"/>
        <w:rPr>
          <w:rFonts w:ascii="宋体" w:hAnsi="宋体"/>
          <w:b/>
          <w:szCs w:val="21"/>
        </w:rPr>
      </w:pPr>
      <w:r>
        <w:rPr>
          <w:rFonts w:hint="eastAsia" w:ascii="宋体" w:hAnsi="宋体"/>
          <w:b/>
          <w:szCs w:val="21"/>
        </w:rPr>
        <w:t>（</w:t>
      </w:r>
      <w:r>
        <w:rPr>
          <w:rFonts w:hint="eastAsia" w:ascii="宋体" w:hAnsi="宋体"/>
          <w:b/>
          <w:szCs w:val="21"/>
          <w:lang w:eastAsia="zh-CN"/>
        </w:rPr>
        <w:t>二</w:t>
      </w:r>
      <w:r>
        <w:rPr>
          <w:rFonts w:hint="eastAsia" w:ascii="宋体" w:hAnsi="宋体"/>
          <w:b/>
          <w:szCs w:val="21"/>
        </w:rPr>
        <w:t>）付款条件：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货到、安装、验收合格一次性付清货款。</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注：所有</w:t>
      </w:r>
      <w:r>
        <w:rPr>
          <w:rFonts w:hint="eastAsia" w:ascii="宋体" w:hAnsi="宋体" w:cs="宋体"/>
          <w:b/>
          <w:bCs/>
          <w:kern w:val="0"/>
          <w:szCs w:val="21"/>
          <w:lang w:eastAsia="zh-CN"/>
        </w:rPr>
        <w:t>技术、</w:t>
      </w:r>
      <w:r>
        <w:rPr>
          <w:rFonts w:hint="eastAsia" w:ascii="宋体" w:hAnsi="宋体" w:cs="宋体"/>
          <w:b/>
          <w:bCs/>
          <w:kern w:val="0"/>
          <w:szCs w:val="21"/>
        </w:rPr>
        <w:t>商务条款</w:t>
      </w:r>
      <w:r>
        <w:rPr>
          <w:rFonts w:hint="eastAsia" w:ascii="宋体" w:hAnsi="宋体" w:cs="宋体"/>
          <w:b/>
          <w:bCs/>
          <w:kern w:val="0"/>
          <w:szCs w:val="21"/>
          <w:lang w:eastAsia="zh-CN"/>
        </w:rPr>
        <w:t>均为实质性</w:t>
      </w:r>
      <w:r>
        <w:rPr>
          <w:rFonts w:hint="eastAsia" w:ascii="宋体" w:hAnsi="宋体" w:cs="宋体"/>
          <w:b/>
          <w:bCs/>
          <w:kern w:val="0"/>
          <w:szCs w:val="21"/>
        </w:rPr>
        <w:t>要求不接受负偏离，要求投标商必须在响应文件中进行逐项应答否则按无效报价文件处理。</w:t>
      </w:r>
    </w:p>
    <w:p>
      <w:pPr>
        <w:rPr>
          <w:rFonts w:ascii="Arial" w:hAnsi="Arial" w:cs="Arial"/>
        </w:rPr>
      </w:pPr>
    </w:p>
    <w:p>
      <w:pPr>
        <w:pStyle w:val="2"/>
        <w:ind w:left="0" w:leftChars="0" w:right="1470"/>
      </w:pPr>
    </w:p>
    <w:p>
      <w:pPr>
        <w:widowControl/>
        <w:jc w:val="center"/>
        <w:rPr>
          <w:rFonts w:hint="eastAsia" w:ascii="宋体" w:hAnsi="宋体" w:cs="宋体"/>
          <w:b/>
          <w:color w:val="000000"/>
          <w:kern w:val="0"/>
          <w:sz w:val="36"/>
          <w:szCs w:val="36"/>
        </w:rPr>
      </w:pPr>
    </w:p>
    <w:p>
      <w:pPr>
        <w:widowControl/>
        <w:jc w:val="center"/>
        <w:rPr>
          <w:rFonts w:hint="eastAsia" w:ascii="宋体" w:hAnsi="宋体" w:cs="宋体"/>
          <w:b/>
          <w:color w:val="000000"/>
          <w:kern w:val="0"/>
          <w:sz w:val="36"/>
          <w:szCs w:val="36"/>
        </w:rPr>
      </w:pPr>
    </w:p>
    <w:p>
      <w:pPr>
        <w:widowControl/>
        <w:jc w:val="center"/>
        <w:rPr>
          <w:rFonts w:hint="eastAsia" w:ascii="宋体" w:hAnsi="宋体" w:cs="宋体"/>
          <w:b/>
          <w:color w:val="000000"/>
          <w:kern w:val="0"/>
          <w:sz w:val="36"/>
          <w:szCs w:val="36"/>
        </w:rPr>
      </w:pPr>
      <w:r>
        <w:rPr>
          <w:rFonts w:hint="eastAsia" w:ascii="宋体" w:hAnsi="宋体" w:cs="宋体"/>
          <w:b/>
          <w:color w:val="000000"/>
          <w:kern w:val="0"/>
          <w:sz w:val="36"/>
          <w:szCs w:val="36"/>
        </w:rPr>
        <w:t>第四章合同主要条款及格式</w:t>
      </w:r>
    </w:p>
    <w:p>
      <w:pPr>
        <w:pStyle w:val="2"/>
        <w:rPr>
          <w:rFonts w:hint="eastAsia" w:ascii="宋体" w:hAnsi="宋体" w:cs="宋体"/>
          <w:b/>
          <w:color w:val="000000"/>
          <w:kern w:val="0"/>
          <w:sz w:val="36"/>
          <w:szCs w:val="36"/>
        </w:rPr>
      </w:pPr>
    </w:p>
    <w:p>
      <w:pPr>
        <w:keepNext w:val="0"/>
        <w:keepLines w:val="0"/>
        <w:pageBreakBefore w:val="0"/>
        <w:widowControl w:val="0"/>
        <w:tabs>
          <w:tab w:val="left" w:pos="8820"/>
        </w:tabs>
        <w:kinsoku/>
        <w:wordWrap/>
        <w:overflowPunct/>
        <w:topLinePunct w:val="0"/>
        <w:autoSpaceDE/>
        <w:autoSpaceDN/>
        <w:bidi w:val="0"/>
        <w:adjustRightInd w:val="0"/>
        <w:snapToGrid w:val="0"/>
        <w:spacing w:line="360" w:lineRule="auto"/>
        <w:jc w:val="left"/>
        <w:textAlignment w:val="auto"/>
        <w:rPr>
          <w:rFonts w:hint="default" w:ascii="宋体" w:hAnsi="宋体" w:eastAsia="宋体"/>
          <w:b/>
          <w:sz w:val="28"/>
          <w:szCs w:val="28"/>
          <w:lang w:val="en-US" w:eastAsia="zh-CN"/>
        </w:rPr>
      </w:pPr>
      <w:r>
        <w:rPr>
          <w:rFonts w:hint="eastAsia" w:ascii="宋体" w:hAnsi="宋体"/>
          <w:b/>
          <w:sz w:val="28"/>
          <w:szCs w:val="28"/>
        </w:rPr>
        <w:t>甲方：</w:t>
      </w:r>
      <w:r>
        <w:rPr>
          <w:rFonts w:hint="eastAsia" w:ascii="宋体" w:hAnsi="宋体"/>
          <w:b/>
          <w:sz w:val="28"/>
          <w:szCs w:val="28"/>
          <w:u w:val="single"/>
        </w:rPr>
        <w:t xml:space="preserve">南京市疾病预防控制中心   </w:t>
      </w:r>
      <w:r>
        <w:rPr>
          <w:rFonts w:hint="eastAsia" w:ascii="宋体" w:hAnsi="宋体"/>
          <w:b/>
          <w:sz w:val="28"/>
          <w:szCs w:val="28"/>
        </w:rPr>
        <w:t xml:space="preserve">               </w:t>
      </w:r>
      <w:r>
        <w:rPr>
          <w:rFonts w:hint="eastAsia" w:ascii="宋体" w:hAnsi="宋体"/>
          <w:b/>
          <w:sz w:val="28"/>
          <w:szCs w:val="28"/>
          <w:lang w:val="en-US" w:eastAsia="zh-CN"/>
        </w:rPr>
        <w:t xml:space="preserve">  </w:t>
      </w:r>
    </w:p>
    <w:p>
      <w:pPr>
        <w:keepNext w:val="0"/>
        <w:keepLines w:val="0"/>
        <w:pageBreakBefore w:val="0"/>
        <w:widowControl w:val="0"/>
        <w:tabs>
          <w:tab w:val="left" w:pos="8820"/>
        </w:tabs>
        <w:kinsoku/>
        <w:overflowPunct/>
        <w:topLinePunct w:val="0"/>
        <w:autoSpaceDE/>
        <w:autoSpaceDN/>
        <w:bidi w:val="0"/>
        <w:adjustRightInd w:val="0"/>
        <w:snapToGrid w:val="0"/>
        <w:spacing w:line="360" w:lineRule="auto"/>
        <w:textAlignment w:val="auto"/>
        <w:rPr>
          <w:rFonts w:hint="eastAsia" w:ascii="宋体" w:hAnsi="宋体"/>
          <w:b/>
          <w:sz w:val="28"/>
          <w:szCs w:val="28"/>
        </w:rPr>
      </w:pPr>
      <w:r>
        <w:rPr>
          <w:rFonts w:hint="eastAsia" w:ascii="宋体" w:hAnsi="宋体"/>
          <w:b/>
          <w:sz w:val="28"/>
          <w:szCs w:val="28"/>
        </w:rPr>
        <w:t>乙方：</w:t>
      </w:r>
      <w:r>
        <w:rPr>
          <w:rFonts w:hint="eastAsia" w:ascii="宋体" w:hAnsi="宋体" w:cs="Arial"/>
          <w:b/>
          <w:bCs/>
          <w:sz w:val="28"/>
          <w:szCs w:val="28"/>
          <w:u w:val="single"/>
        </w:rPr>
        <w:t xml:space="preserve">       </w:t>
      </w:r>
      <w:r>
        <w:rPr>
          <w:rFonts w:hint="eastAsia" w:ascii="宋体" w:hAnsi="宋体" w:cs="Arial"/>
          <w:b/>
          <w:bCs/>
          <w:sz w:val="28"/>
          <w:szCs w:val="28"/>
          <w:u w:val="single"/>
          <w:lang w:val="en-US" w:eastAsia="zh-CN"/>
        </w:rPr>
        <w:t xml:space="preserve">              </w:t>
      </w:r>
      <w:r>
        <w:rPr>
          <w:rFonts w:hint="eastAsia" w:ascii="宋体" w:hAnsi="宋体" w:cs="Arial"/>
          <w:b/>
          <w:bCs/>
          <w:sz w:val="28"/>
          <w:szCs w:val="28"/>
          <w:u w:val="single"/>
        </w:rPr>
        <w:t xml:space="preserve">   </w:t>
      </w:r>
      <w:r>
        <w:rPr>
          <w:rFonts w:hint="eastAsia" w:ascii="宋体" w:hAnsi="宋体"/>
          <w:b/>
          <w:sz w:val="28"/>
          <w:szCs w:val="28"/>
        </w:rPr>
        <w:t xml:space="preserve">   </w:t>
      </w:r>
    </w:p>
    <w:p>
      <w:pPr>
        <w:pStyle w:val="2"/>
        <w:rPr>
          <w:rFonts w:hint="eastAsia"/>
        </w:rPr>
      </w:pPr>
    </w:p>
    <w:p>
      <w:pPr>
        <w:adjustRightInd w:val="0"/>
        <w:snapToGrid w:val="0"/>
        <w:spacing w:line="360" w:lineRule="auto"/>
        <w:rPr>
          <w:rFonts w:hint="eastAsia" w:ascii="宋体" w:hAnsi="宋体"/>
          <w:b/>
          <w:sz w:val="24"/>
        </w:rPr>
      </w:pPr>
      <w:r>
        <w:rPr>
          <w:rFonts w:hint="eastAsia" w:ascii="宋体" w:hAnsi="宋体"/>
          <w:b/>
          <w:sz w:val="28"/>
          <w:szCs w:val="28"/>
          <w:lang w:eastAsia="zh-CN"/>
        </w:rPr>
        <w:t>一、</w:t>
      </w:r>
      <w:r>
        <w:rPr>
          <w:rFonts w:hint="eastAsia" w:ascii="宋体" w:hAnsi="宋体"/>
          <w:b/>
          <w:sz w:val="28"/>
          <w:szCs w:val="28"/>
        </w:rPr>
        <w:t>产品的名称、型号、厂家、数量、金额、供货时间:</w:t>
      </w:r>
    </w:p>
    <w:p>
      <w:pPr>
        <w:keepNext w:val="0"/>
        <w:keepLines w:val="0"/>
        <w:pageBreakBefore w:val="0"/>
        <w:widowControl w:val="0"/>
        <w:tabs>
          <w:tab w:val="left" w:pos="8820"/>
        </w:tabs>
        <w:kinsoku/>
        <w:overflowPunct/>
        <w:topLinePunct w:val="0"/>
        <w:autoSpaceDE/>
        <w:autoSpaceDN/>
        <w:bidi w:val="0"/>
        <w:adjustRightInd w:val="0"/>
        <w:snapToGrid w:val="0"/>
        <w:spacing w:line="360" w:lineRule="auto"/>
        <w:textAlignment w:val="auto"/>
        <w:rPr>
          <w:rFonts w:hint="eastAsia" w:ascii="宋体" w:hAnsi="宋体"/>
          <w:b/>
          <w:sz w:val="28"/>
          <w:szCs w:val="28"/>
        </w:rPr>
      </w:pPr>
      <w:r>
        <w:rPr>
          <w:rFonts w:hint="eastAsia" w:ascii="宋体" w:hAnsi="宋体"/>
          <w:b/>
          <w:sz w:val="28"/>
          <w:szCs w:val="28"/>
        </w:rPr>
        <w:t xml:space="preserve">      </w:t>
      </w:r>
    </w:p>
    <w:tbl>
      <w:tblPr>
        <w:tblStyle w:val="6"/>
        <w:tblpPr w:leftFromText="180" w:rightFromText="180" w:vertAnchor="page" w:horzAnchor="page" w:tblpX="1290" w:tblpY="6165"/>
        <w:tblOverlap w:val="never"/>
        <w:tblW w:w="9862" w:type="dxa"/>
        <w:tblInd w:w="0" w:type="dxa"/>
        <w:tblLayout w:type="fixed"/>
        <w:tblCellMar>
          <w:top w:w="0" w:type="dxa"/>
          <w:left w:w="108" w:type="dxa"/>
          <w:bottom w:w="0" w:type="dxa"/>
          <w:right w:w="108" w:type="dxa"/>
        </w:tblCellMar>
      </w:tblPr>
      <w:tblGrid>
        <w:gridCol w:w="693"/>
        <w:gridCol w:w="2649"/>
        <w:gridCol w:w="960"/>
        <w:gridCol w:w="898"/>
        <w:gridCol w:w="835"/>
        <w:gridCol w:w="1174"/>
        <w:gridCol w:w="1146"/>
        <w:gridCol w:w="1507"/>
      </w:tblGrid>
      <w:tr>
        <w:tblPrEx>
          <w:tblCellMar>
            <w:top w:w="0" w:type="dxa"/>
            <w:left w:w="108" w:type="dxa"/>
            <w:bottom w:w="0" w:type="dxa"/>
            <w:right w:w="108" w:type="dxa"/>
          </w:tblCellMar>
        </w:tblPrEx>
        <w:trPr>
          <w:trHeight w:val="784"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名称</w:t>
            </w:r>
          </w:p>
        </w:tc>
        <w:tc>
          <w:tcPr>
            <w:tcW w:w="9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产地</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型号</w:t>
            </w:r>
          </w:p>
        </w:tc>
        <w:tc>
          <w:tcPr>
            <w:tcW w:w="8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数量</w:t>
            </w: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单价（￥）</w:t>
            </w:r>
          </w:p>
        </w:tc>
        <w:tc>
          <w:tcPr>
            <w:tcW w:w="11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总价（￥）</w:t>
            </w:r>
          </w:p>
        </w:tc>
        <w:tc>
          <w:tcPr>
            <w:tcW w:w="15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备注</w:t>
            </w:r>
          </w:p>
        </w:tc>
      </w:tr>
      <w:tr>
        <w:tblPrEx>
          <w:tblCellMar>
            <w:top w:w="0" w:type="dxa"/>
            <w:left w:w="108" w:type="dxa"/>
            <w:bottom w:w="0" w:type="dxa"/>
            <w:right w:w="108" w:type="dxa"/>
          </w:tblCellMar>
        </w:tblPrEx>
        <w:trPr>
          <w:trHeight w:val="3243" w:hRule="atLeast"/>
        </w:trPr>
        <w:tc>
          <w:tcPr>
            <w:tcW w:w="693"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szCs w:val="21"/>
              </w:rPr>
            </w:pPr>
            <w:r>
              <w:rPr>
                <w:rFonts w:hint="eastAsia" w:ascii="宋体" w:hAnsi="宋体" w:cs="宋体"/>
                <w:color w:val="000000"/>
                <w:kern w:val="0"/>
                <w:szCs w:val="21"/>
                <w:lang w:bidi="ar"/>
              </w:rPr>
              <w:t>1</w:t>
            </w:r>
          </w:p>
        </w:tc>
        <w:tc>
          <w:tcPr>
            <w:tcW w:w="2649" w:type="dxa"/>
            <w:tcBorders>
              <w:top w:val="nil"/>
              <w:left w:val="single" w:color="auto" w:sz="4" w:space="0"/>
              <w:bottom w:val="single" w:color="auto" w:sz="4" w:space="0"/>
              <w:right w:val="single" w:color="auto" w:sz="4" w:space="0"/>
            </w:tcBorders>
            <w:noWrap w:val="0"/>
            <w:vAlign w:val="center"/>
          </w:tcPr>
          <w:p>
            <w:pPr>
              <w:jc w:val="center"/>
              <w:rPr>
                <w:rFonts w:hint="eastAsia"/>
              </w:rPr>
            </w:pPr>
            <w:r>
              <w:rPr>
                <w:rFonts w:hint="eastAsia"/>
              </w:rPr>
              <w:t>卫生应急冬装</w:t>
            </w:r>
          </w:p>
          <w:p>
            <w:pPr>
              <w:widowControl/>
              <w:jc w:val="center"/>
              <w:textAlignment w:val="center"/>
              <w:rPr>
                <w:rFonts w:ascii="宋体" w:hAnsi="宋体" w:cs="宋体"/>
                <w:color w:val="000000"/>
                <w:kern w:val="0"/>
                <w:szCs w:val="21"/>
                <w:lang w:bidi="ar"/>
              </w:rPr>
            </w:pPr>
            <w:r>
              <w:rPr>
                <w:rFonts w:hint="eastAsia"/>
              </w:rPr>
              <w:t>（</w:t>
            </w:r>
            <w:r>
              <w:rPr>
                <w:rFonts w:hint="eastAsia"/>
                <w:lang w:eastAsia="zh-CN"/>
              </w:rPr>
              <w:t>含</w:t>
            </w:r>
            <w:r>
              <w:rPr>
                <w:rFonts w:hint="eastAsia"/>
              </w:rPr>
              <w:t>上衣+</w:t>
            </w:r>
            <w:r>
              <w:rPr>
                <w:rFonts w:hint="eastAsia"/>
                <w:lang w:eastAsia="zh-CN"/>
              </w:rPr>
              <w:t>抓绒</w:t>
            </w:r>
            <w:r>
              <w:rPr>
                <w:rFonts w:hint="eastAsia"/>
              </w:rPr>
              <w:t>内胆+冬裤）</w:t>
            </w:r>
          </w:p>
        </w:tc>
        <w:tc>
          <w:tcPr>
            <w:tcW w:w="96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p>
        </w:tc>
        <w:tc>
          <w:tcPr>
            <w:tcW w:w="89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p>
        </w:tc>
        <w:tc>
          <w:tcPr>
            <w:tcW w:w="83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p>
        </w:tc>
        <w:tc>
          <w:tcPr>
            <w:tcW w:w="117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FF0000"/>
                <w:highlight w:val="yellow"/>
                <w:lang w:eastAsia="zh-CN"/>
              </w:rPr>
            </w:pPr>
            <w:r>
              <w:rPr>
                <w:rFonts w:hint="eastAsia"/>
                <w:color w:val="FF0000"/>
                <w:highlight w:val="yellow"/>
              </w:rPr>
              <w:t>印字：南京卫生应急</w:t>
            </w:r>
            <w:r>
              <w:rPr>
                <w:rFonts w:hint="eastAsia"/>
                <w:color w:val="FF0000"/>
                <w:highlight w:val="yellow"/>
                <w:lang w:eastAsia="zh-CN"/>
              </w:rPr>
              <w:t>（可拆卸布条）</w:t>
            </w:r>
          </w:p>
          <w:p>
            <w:pPr>
              <w:widowControl/>
              <w:jc w:val="center"/>
              <w:textAlignment w:val="center"/>
              <w:rPr>
                <w:rFonts w:ascii="宋体" w:hAnsi="宋体" w:cs="宋体"/>
                <w:color w:val="000000"/>
                <w:kern w:val="0"/>
                <w:szCs w:val="21"/>
                <w:lang w:bidi="ar"/>
              </w:rPr>
            </w:pPr>
            <w:r>
              <w:rPr>
                <w:rFonts w:ascii="宋体" w:hAnsi="宋体" w:cs="宋体"/>
                <w:sz w:val="24"/>
              </w:rPr>
              <w:fldChar w:fldCharType="begin"/>
            </w:r>
            <w:r>
              <w:rPr>
                <w:rFonts w:ascii="宋体" w:hAnsi="宋体" w:cs="宋体"/>
                <w:sz w:val="24"/>
              </w:rPr>
              <w:instrText xml:space="preserve">INCLUDEPICTURE \d "C:\\Users\\li\\Documents\\Tencent Files\\460626513\\Image\\C2C\\78A8A4C3056EBB22A116CF9D947533F2.jpg" \* MERGEFORMATINET </w:instrText>
            </w:r>
            <w:r>
              <w:rPr>
                <w:rFonts w:ascii="宋体" w:hAnsi="宋体" w:cs="宋体"/>
                <w:sz w:val="24"/>
              </w:rPr>
              <w:fldChar w:fldCharType="separate"/>
            </w:r>
            <w:r>
              <w:rPr>
                <w:rFonts w:ascii="宋体" w:hAnsi="宋体" w:cs="宋体"/>
                <w:sz w:val="24"/>
              </w:rPr>
              <w:drawing>
                <wp:inline distT="0" distB="0" distL="114300" distR="114300">
                  <wp:extent cx="870585" cy="1160780"/>
                  <wp:effectExtent l="0" t="0" r="5715" b="127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870585" cy="1160780"/>
                          </a:xfrm>
                          <a:prstGeom prst="rect">
                            <a:avLst/>
                          </a:prstGeom>
                          <a:noFill/>
                          <a:ln>
                            <a:noFill/>
                          </a:ln>
                        </pic:spPr>
                      </pic:pic>
                    </a:graphicData>
                  </a:graphic>
                </wp:inline>
              </w:drawing>
            </w:r>
            <w:r>
              <w:rPr>
                <w:rFonts w:ascii="宋体" w:hAnsi="宋体" w:cs="宋体"/>
                <w:sz w:val="24"/>
              </w:rPr>
              <w:fldChar w:fldCharType="end"/>
            </w:r>
          </w:p>
        </w:tc>
      </w:tr>
      <w:tr>
        <w:tblPrEx>
          <w:tblCellMar>
            <w:top w:w="0" w:type="dxa"/>
            <w:left w:w="108" w:type="dxa"/>
            <w:bottom w:w="0" w:type="dxa"/>
            <w:right w:w="108" w:type="dxa"/>
          </w:tblCellMar>
        </w:tblPrEx>
        <w:trPr>
          <w:trHeight w:val="706" w:hRule="atLeast"/>
        </w:trPr>
        <w:tc>
          <w:tcPr>
            <w:tcW w:w="720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总价（大写）：</w:t>
            </w:r>
          </w:p>
        </w:tc>
        <w:tc>
          <w:tcPr>
            <w:tcW w:w="26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r>
    </w:tbl>
    <w:p>
      <w:pPr>
        <w:adjustRightInd w:val="0"/>
        <w:snapToGrid w:val="0"/>
        <w:spacing w:line="360" w:lineRule="auto"/>
        <w:rPr>
          <w:rFonts w:hint="eastAsia" w:ascii="宋体" w:hAnsi="宋体"/>
          <w:b/>
          <w:sz w:val="24"/>
          <w:u w:val="single"/>
        </w:rPr>
      </w:pPr>
      <w:r>
        <w:rPr>
          <w:rFonts w:hint="eastAsia" w:ascii="宋体" w:hAnsi="宋体"/>
          <w:b/>
          <w:sz w:val="24"/>
        </w:rPr>
        <w:t>二、质量标准及质量负责的条件和期限：</w:t>
      </w:r>
      <w:r>
        <w:rPr>
          <w:rFonts w:hint="eastAsia" w:ascii="宋体" w:hAnsi="宋体"/>
          <w:b/>
          <w:sz w:val="24"/>
          <w:u w:val="single"/>
        </w:rPr>
        <w:t>根据原厂生产技术标准，提供原厂质量保证期限为</w:t>
      </w:r>
      <w:r>
        <w:rPr>
          <w:rFonts w:hint="eastAsia" w:ascii="宋体" w:hAnsi="宋体"/>
          <w:b/>
          <w:sz w:val="24"/>
          <w:u w:val="single"/>
          <w:lang w:val="en-US" w:eastAsia="zh-CN"/>
        </w:rPr>
        <w:t xml:space="preserve">       </w:t>
      </w:r>
      <w:r>
        <w:rPr>
          <w:rFonts w:hint="eastAsia" w:ascii="宋体" w:hAnsi="宋体"/>
          <w:b/>
          <w:sz w:val="24"/>
          <w:u w:val="single"/>
        </w:rPr>
        <w:t xml:space="preserve">年（易耗品除外）。                                              </w:t>
      </w:r>
    </w:p>
    <w:p>
      <w:pPr>
        <w:adjustRightInd w:val="0"/>
        <w:snapToGrid w:val="0"/>
        <w:spacing w:line="360" w:lineRule="auto"/>
        <w:rPr>
          <w:rFonts w:hint="eastAsia" w:ascii="宋体" w:hAnsi="宋体"/>
          <w:b/>
          <w:sz w:val="24"/>
          <w:u w:val="single"/>
        </w:rPr>
      </w:pPr>
      <w:r>
        <w:rPr>
          <w:rFonts w:hint="eastAsia" w:ascii="宋体" w:hAnsi="宋体"/>
          <w:b/>
          <w:sz w:val="24"/>
        </w:rPr>
        <w:t>三、交（提）货地点、方式：</w:t>
      </w:r>
      <w:r>
        <w:rPr>
          <w:rFonts w:hint="eastAsia" w:ascii="宋体" w:hAnsi="宋体"/>
          <w:b/>
          <w:sz w:val="24"/>
          <w:u w:val="single"/>
        </w:rPr>
        <w:t xml:space="preserve">乙方送货上门并免费安装培训。                             　　　　　　　　　　　  </w:t>
      </w:r>
    </w:p>
    <w:p>
      <w:pPr>
        <w:adjustRightInd w:val="0"/>
        <w:snapToGrid w:val="0"/>
        <w:spacing w:line="360" w:lineRule="auto"/>
        <w:rPr>
          <w:rFonts w:hint="eastAsia" w:ascii="宋体" w:hAnsi="宋体"/>
          <w:b/>
          <w:sz w:val="24"/>
          <w:u w:val="single"/>
        </w:rPr>
      </w:pPr>
      <w:r>
        <w:rPr>
          <w:rFonts w:hint="eastAsia" w:ascii="宋体" w:hAnsi="宋体"/>
          <w:b/>
          <w:sz w:val="24"/>
        </w:rPr>
        <w:t>四、运输方式及到达站港和费用负担：</w:t>
      </w:r>
      <w:r>
        <w:rPr>
          <w:rFonts w:hint="eastAsia" w:ascii="宋体" w:hAnsi="宋体"/>
          <w:b/>
          <w:sz w:val="24"/>
          <w:u w:val="single"/>
        </w:rPr>
        <w:t>专业运输公司承运，运费由乙方负担。                         　　　　　                          　</w:t>
      </w:r>
    </w:p>
    <w:p>
      <w:pPr>
        <w:adjustRightInd w:val="0"/>
        <w:snapToGrid w:val="0"/>
        <w:spacing w:line="360" w:lineRule="auto"/>
        <w:rPr>
          <w:rFonts w:hint="eastAsia" w:ascii="宋体" w:hAnsi="宋体"/>
          <w:b/>
          <w:sz w:val="24"/>
          <w:u w:val="single"/>
        </w:rPr>
      </w:pPr>
      <w:r>
        <w:rPr>
          <w:rFonts w:hint="eastAsia" w:ascii="宋体" w:hAnsi="宋体"/>
          <w:b/>
          <w:sz w:val="24"/>
        </w:rPr>
        <w:t>五、合理损耗及计算方法：</w:t>
      </w:r>
      <w:r>
        <w:rPr>
          <w:rFonts w:hint="eastAsia" w:ascii="宋体" w:hAnsi="宋体"/>
          <w:b/>
          <w:sz w:val="24"/>
          <w:u w:val="single"/>
        </w:rPr>
        <w:t>无。                                                        　　　　　　</w:t>
      </w:r>
    </w:p>
    <w:p>
      <w:pPr>
        <w:adjustRightInd w:val="0"/>
        <w:snapToGrid w:val="0"/>
        <w:spacing w:line="360" w:lineRule="auto"/>
        <w:rPr>
          <w:rFonts w:hint="eastAsia" w:ascii="宋体" w:hAnsi="宋体"/>
          <w:b/>
          <w:sz w:val="24"/>
          <w:u w:val="single"/>
        </w:rPr>
      </w:pPr>
      <w:r>
        <w:rPr>
          <w:rFonts w:hint="eastAsia" w:ascii="宋体" w:hAnsi="宋体"/>
          <w:b/>
          <w:sz w:val="24"/>
        </w:rPr>
        <w:t>六、包装标准、包装物的供应及回收：</w:t>
      </w:r>
      <w:r>
        <w:rPr>
          <w:rFonts w:hint="eastAsia" w:ascii="宋体" w:hAnsi="宋体"/>
          <w:b/>
          <w:sz w:val="24"/>
          <w:u w:val="single"/>
        </w:rPr>
        <w:t xml:space="preserve">标准包装，包装物不回收。                                   　 </w:t>
      </w:r>
    </w:p>
    <w:p>
      <w:pPr>
        <w:adjustRightInd w:val="0"/>
        <w:snapToGrid w:val="0"/>
        <w:spacing w:line="360" w:lineRule="auto"/>
        <w:rPr>
          <w:rFonts w:hint="eastAsia" w:ascii="宋体" w:hAnsi="宋体"/>
          <w:b/>
          <w:sz w:val="24"/>
          <w:u w:val="single"/>
        </w:rPr>
      </w:pPr>
      <w:r>
        <w:rPr>
          <w:rFonts w:hint="eastAsia" w:ascii="宋体" w:hAnsi="宋体"/>
          <w:b/>
          <w:sz w:val="24"/>
        </w:rPr>
        <w:t>七、验收标准及提出异议期限：</w:t>
      </w:r>
      <w:r>
        <w:rPr>
          <w:rFonts w:hint="eastAsia" w:ascii="宋体" w:hAnsi="宋体"/>
          <w:b/>
          <w:sz w:val="24"/>
          <w:u w:val="single"/>
        </w:rPr>
        <w:t xml:space="preserve">按标准验收；若有异议，货到壹周内书面提出。           　　                                                        </w:t>
      </w:r>
    </w:p>
    <w:p>
      <w:pPr>
        <w:adjustRightInd w:val="0"/>
        <w:snapToGrid w:val="0"/>
        <w:spacing w:line="360" w:lineRule="auto"/>
        <w:rPr>
          <w:rFonts w:hint="eastAsia" w:ascii="宋体" w:hAnsi="宋体"/>
          <w:b/>
          <w:sz w:val="24"/>
          <w:u w:val="single"/>
        </w:rPr>
      </w:pPr>
      <w:r>
        <w:rPr>
          <w:rFonts w:hint="eastAsia" w:ascii="宋体" w:hAnsi="宋体"/>
          <w:b/>
          <w:sz w:val="24"/>
        </w:rPr>
        <w:t>八、随机备品、配件工具数量及供应办法：</w:t>
      </w:r>
      <w:r>
        <w:rPr>
          <w:rFonts w:hint="eastAsia" w:ascii="宋体" w:hAnsi="宋体"/>
          <w:b/>
          <w:sz w:val="24"/>
          <w:u w:val="single"/>
        </w:rPr>
        <w:t xml:space="preserve">按标准配置。配件可向乙方采购。                            　　　 </w:t>
      </w:r>
    </w:p>
    <w:p>
      <w:pPr>
        <w:adjustRightInd w:val="0"/>
        <w:snapToGrid w:val="0"/>
        <w:spacing w:line="360" w:lineRule="auto"/>
        <w:rPr>
          <w:rFonts w:hint="eastAsia" w:ascii="宋体" w:hAnsi="宋体"/>
          <w:b/>
          <w:sz w:val="24"/>
        </w:rPr>
      </w:pPr>
      <w:r>
        <w:rPr>
          <w:rFonts w:hint="eastAsia" w:ascii="宋体" w:hAnsi="宋体"/>
          <w:b/>
          <w:sz w:val="24"/>
        </w:rPr>
        <w:t>九、标的物所有权自</w:t>
      </w:r>
      <w:r>
        <w:rPr>
          <w:rFonts w:hint="eastAsia" w:ascii="宋体" w:hAnsi="宋体"/>
          <w:b/>
          <w:sz w:val="24"/>
          <w:u w:val="single"/>
        </w:rPr>
        <w:t>发货之日</w:t>
      </w:r>
      <w:r>
        <w:rPr>
          <w:rFonts w:hint="eastAsia" w:ascii="宋体" w:hAnsi="宋体"/>
          <w:b/>
          <w:sz w:val="24"/>
        </w:rPr>
        <w:t>时起转移，但甲方未履行支付价款的义务的，标的物属于</w:t>
      </w:r>
      <w:r>
        <w:rPr>
          <w:rFonts w:hint="eastAsia" w:ascii="宋体" w:hAnsi="宋体"/>
          <w:b/>
          <w:sz w:val="24"/>
          <w:u w:val="single"/>
          <w:lang w:val="en-US" w:eastAsia="zh-CN"/>
        </w:rPr>
        <w:t xml:space="preserve">                              </w:t>
      </w:r>
      <w:r>
        <w:rPr>
          <w:rFonts w:hint="eastAsia" w:ascii="宋体" w:hAnsi="宋体"/>
          <w:b/>
          <w:sz w:val="24"/>
        </w:rPr>
        <w:t>所有。</w:t>
      </w:r>
    </w:p>
    <w:p>
      <w:pPr>
        <w:adjustRightInd w:val="0"/>
        <w:snapToGrid w:val="0"/>
        <w:spacing w:line="360" w:lineRule="auto"/>
        <w:rPr>
          <w:rFonts w:hint="eastAsia" w:ascii="宋体" w:hAnsi="宋体"/>
          <w:b/>
          <w:sz w:val="24"/>
          <w:u w:val="single"/>
        </w:rPr>
      </w:pPr>
      <w:r>
        <w:rPr>
          <w:rFonts w:hint="eastAsia" w:ascii="宋体" w:hAnsi="宋体"/>
          <w:b/>
          <w:sz w:val="24"/>
        </w:rPr>
        <w:t>十、结算方式及期限：</w:t>
      </w:r>
      <w:r>
        <w:rPr>
          <w:rFonts w:hint="eastAsia" w:ascii="宋体" w:hAnsi="宋体"/>
          <w:b/>
          <w:sz w:val="24"/>
          <w:u w:val="single"/>
        </w:rPr>
        <w:t xml:space="preserve">货到验收合格后付清货款                                   </w:t>
      </w:r>
    </w:p>
    <w:p>
      <w:pPr>
        <w:adjustRightInd w:val="0"/>
        <w:snapToGrid w:val="0"/>
        <w:spacing w:line="360" w:lineRule="auto"/>
        <w:rPr>
          <w:rFonts w:hint="eastAsia" w:ascii="宋体" w:hAnsi="宋体"/>
          <w:b/>
          <w:sz w:val="24"/>
          <w:u w:val="single"/>
        </w:rPr>
      </w:pPr>
      <w:r>
        <w:rPr>
          <w:rFonts w:hint="eastAsia" w:ascii="宋体" w:hAnsi="宋体"/>
          <w:b/>
          <w:sz w:val="24"/>
        </w:rPr>
        <w:t>十一、担保方式：</w:t>
      </w:r>
      <w:r>
        <w:rPr>
          <w:rFonts w:hint="eastAsia" w:ascii="宋体" w:hAnsi="宋体"/>
          <w:b/>
          <w:sz w:val="24"/>
          <w:u w:val="single"/>
        </w:rPr>
        <w:t>双方协商。                       　　　　　　　　　　　　　　　　　　　　　　　　</w:t>
      </w:r>
    </w:p>
    <w:p>
      <w:pPr>
        <w:adjustRightInd w:val="0"/>
        <w:snapToGrid w:val="0"/>
        <w:spacing w:line="360" w:lineRule="auto"/>
        <w:rPr>
          <w:rFonts w:hint="eastAsia" w:ascii="宋体" w:hAnsi="宋体"/>
          <w:b/>
          <w:sz w:val="24"/>
          <w:u w:val="single"/>
        </w:rPr>
      </w:pPr>
      <w:r>
        <w:rPr>
          <w:rFonts w:hint="eastAsia" w:ascii="宋体" w:hAnsi="宋体"/>
          <w:b/>
          <w:sz w:val="24"/>
        </w:rPr>
        <w:t>十二、本合同解除的条件：</w:t>
      </w:r>
      <w:r>
        <w:rPr>
          <w:rFonts w:hint="eastAsia" w:ascii="宋体" w:hAnsi="宋体"/>
          <w:b/>
          <w:sz w:val="24"/>
          <w:u w:val="single"/>
        </w:rPr>
        <w:t>双方履行合同中所签订的条款后。　　　　　　　　　　　　　　　　　　　　　　</w:t>
      </w:r>
    </w:p>
    <w:p>
      <w:pPr>
        <w:adjustRightInd w:val="0"/>
        <w:snapToGrid w:val="0"/>
        <w:spacing w:line="360" w:lineRule="auto"/>
        <w:rPr>
          <w:rFonts w:hint="eastAsia" w:ascii="宋体" w:hAnsi="宋体"/>
          <w:b/>
          <w:sz w:val="24"/>
          <w:u w:val="single"/>
        </w:rPr>
      </w:pPr>
      <w:r>
        <w:rPr>
          <w:rFonts w:hint="eastAsia" w:ascii="宋体" w:hAnsi="宋体"/>
          <w:b/>
          <w:sz w:val="24"/>
        </w:rPr>
        <w:t>十三、违约责任：</w:t>
      </w:r>
      <w:r>
        <w:rPr>
          <w:rFonts w:hint="eastAsia" w:ascii="宋体" w:hAnsi="宋体"/>
          <w:b/>
          <w:sz w:val="24"/>
          <w:u w:val="single"/>
        </w:rPr>
        <w:t xml:space="preserve">由违约方承担。                                                    　　　　　　　 </w:t>
      </w:r>
    </w:p>
    <w:p>
      <w:pPr>
        <w:adjustRightInd w:val="0"/>
        <w:snapToGrid w:val="0"/>
        <w:spacing w:line="360" w:lineRule="auto"/>
        <w:ind w:left="723" w:hanging="723" w:hangingChars="300"/>
        <w:rPr>
          <w:rFonts w:hint="eastAsia" w:ascii="宋体" w:hAnsi="宋体"/>
          <w:b/>
          <w:sz w:val="24"/>
          <w:u w:val="single"/>
        </w:rPr>
      </w:pPr>
      <w:r>
        <w:rPr>
          <w:rFonts w:hint="eastAsia" w:ascii="宋体" w:hAnsi="宋体"/>
          <w:b/>
          <w:sz w:val="24"/>
        </w:rPr>
        <w:t>十四、解决合同争议的方式：</w:t>
      </w:r>
      <w:r>
        <w:rPr>
          <w:rFonts w:hint="eastAsia" w:ascii="宋体" w:hAnsi="宋体"/>
          <w:b/>
          <w:sz w:val="24"/>
          <w:u w:val="single"/>
        </w:rPr>
        <w:t>本合同在履行过程中发生的争议，由双方当事人</w:t>
      </w:r>
    </w:p>
    <w:p>
      <w:pPr>
        <w:adjustRightInd w:val="0"/>
        <w:snapToGrid w:val="0"/>
        <w:spacing w:line="360" w:lineRule="auto"/>
        <w:ind w:firstLine="482" w:firstLineChars="200"/>
        <w:rPr>
          <w:rFonts w:hint="eastAsia" w:ascii="宋体" w:hAnsi="宋体"/>
          <w:b/>
          <w:sz w:val="24"/>
          <w:u w:val="single"/>
        </w:rPr>
      </w:pPr>
      <w:r>
        <w:rPr>
          <w:rFonts w:hint="eastAsia" w:ascii="宋体" w:hAnsi="宋体"/>
          <w:b/>
          <w:sz w:val="24"/>
          <w:u w:val="single"/>
        </w:rPr>
        <w:t>协商解决；也可由当地工商行政管理部门调解；协商或调解不成的，按以</w:t>
      </w:r>
    </w:p>
    <w:p>
      <w:pPr>
        <w:adjustRightInd w:val="0"/>
        <w:snapToGrid w:val="0"/>
        <w:spacing w:line="360" w:lineRule="auto"/>
        <w:ind w:firstLine="482" w:firstLineChars="200"/>
        <w:rPr>
          <w:rFonts w:hint="eastAsia" w:ascii="宋体" w:hAnsi="宋体"/>
          <w:b/>
          <w:sz w:val="24"/>
          <w:u w:val="single"/>
        </w:rPr>
      </w:pPr>
      <w:r>
        <w:rPr>
          <w:rFonts w:hint="eastAsia" w:ascii="宋体" w:hAnsi="宋体"/>
          <w:b/>
          <w:sz w:val="24"/>
          <w:u w:val="single"/>
        </w:rPr>
        <w:t>下第（一）方式解决。 　　　　　　　　　　　　　  　　         　</w:t>
      </w:r>
    </w:p>
    <w:p>
      <w:pPr>
        <w:numPr>
          <w:ilvl w:val="0"/>
          <w:numId w:val="7"/>
        </w:numPr>
        <w:adjustRightInd w:val="0"/>
        <w:snapToGrid w:val="0"/>
        <w:spacing w:line="360" w:lineRule="auto"/>
        <w:rPr>
          <w:rFonts w:hint="eastAsia" w:ascii="宋体" w:hAnsi="宋体"/>
          <w:b/>
          <w:sz w:val="24"/>
        </w:rPr>
      </w:pPr>
      <w:r>
        <w:rPr>
          <w:rFonts w:hint="eastAsia" w:ascii="宋体" w:hAnsi="宋体"/>
          <w:b/>
          <w:sz w:val="24"/>
        </w:rPr>
        <w:t>依法向甲方所在地人民法院起诉。</w:t>
      </w:r>
    </w:p>
    <w:p>
      <w:pPr>
        <w:numPr>
          <w:ilvl w:val="0"/>
          <w:numId w:val="7"/>
        </w:numPr>
        <w:adjustRightInd w:val="0"/>
        <w:snapToGrid w:val="0"/>
        <w:spacing w:line="360" w:lineRule="auto"/>
        <w:rPr>
          <w:rFonts w:hint="eastAsia" w:ascii="宋体" w:hAnsi="宋体"/>
          <w:b/>
          <w:sz w:val="24"/>
        </w:rPr>
      </w:pPr>
      <w:r>
        <w:rPr>
          <w:rFonts w:hint="eastAsia" w:ascii="宋体" w:hAnsi="宋体"/>
          <w:b/>
          <w:sz w:val="24"/>
        </w:rPr>
        <w:t>提交</w:t>
      </w:r>
      <w:r>
        <w:rPr>
          <w:rFonts w:hint="eastAsia" w:ascii="宋体" w:hAnsi="宋体"/>
          <w:b/>
          <w:sz w:val="24"/>
          <w:u w:val="single"/>
        </w:rPr>
        <w:t>南京市</w:t>
      </w:r>
      <w:r>
        <w:rPr>
          <w:rFonts w:hint="eastAsia" w:ascii="宋体" w:hAnsi="宋体"/>
          <w:b/>
          <w:sz w:val="24"/>
        </w:rPr>
        <w:t xml:space="preserve">仲裁委员会仲裁。 </w:t>
      </w:r>
    </w:p>
    <w:p>
      <w:pPr>
        <w:numPr>
          <w:ilvl w:val="0"/>
          <w:numId w:val="8"/>
        </w:numPr>
        <w:adjustRightInd w:val="0"/>
        <w:snapToGrid w:val="0"/>
        <w:spacing w:line="360" w:lineRule="auto"/>
        <w:rPr>
          <w:rFonts w:hint="eastAsia" w:ascii="宋体" w:hAnsi="宋体"/>
          <w:b/>
          <w:sz w:val="24"/>
          <w:u w:val="single"/>
        </w:rPr>
      </w:pPr>
      <w:r>
        <w:rPr>
          <w:rFonts w:hint="eastAsia" w:ascii="宋体" w:hAnsi="宋体"/>
          <w:b/>
          <w:sz w:val="24"/>
        </w:rPr>
        <w:t>交货时间：</w:t>
      </w:r>
      <w:r>
        <w:rPr>
          <w:rFonts w:hint="eastAsia" w:ascii="宋体" w:hAnsi="宋体"/>
          <w:b/>
          <w:sz w:val="24"/>
          <w:u w:val="single"/>
        </w:rPr>
        <w:t xml:space="preserve">  合同签订后</w:t>
      </w:r>
      <w:r>
        <w:rPr>
          <w:rFonts w:hint="eastAsia" w:ascii="宋体" w:hAnsi="宋体"/>
          <w:b/>
          <w:sz w:val="24"/>
          <w:u w:val="single"/>
          <w:lang w:val="en-US" w:eastAsia="zh-CN"/>
        </w:rPr>
        <w:t>15天</w:t>
      </w:r>
      <w:r>
        <w:rPr>
          <w:rFonts w:hint="eastAsia" w:ascii="宋体" w:hAnsi="宋体"/>
          <w:b/>
          <w:sz w:val="24"/>
          <w:u w:val="single"/>
        </w:rPr>
        <w:t xml:space="preserve">内交齐                          </w:t>
      </w:r>
    </w:p>
    <w:p>
      <w:pPr>
        <w:adjustRightInd w:val="0"/>
        <w:snapToGrid w:val="0"/>
        <w:spacing w:line="360" w:lineRule="auto"/>
        <w:rPr>
          <w:rFonts w:hint="eastAsia" w:ascii="宋体" w:hAnsi="宋体"/>
          <w:sz w:val="28"/>
          <w:szCs w:val="28"/>
        </w:rPr>
      </w:pPr>
      <w:r>
        <w:rPr>
          <w:rFonts w:hint="eastAsia" w:ascii="宋体" w:hAnsi="宋体"/>
          <w:b/>
          <w:sz w:val="24"/>
        </w:rPr>
        <w:t>十六、本合同壹式</w:t>
      </w:r>
      <w:r>
        <w:rPr>
          <w:rFonts w:hint="eastAsia" w:ascii="宋体" w:hAnsi="宋体"/>
          <w:b/>
          <w:sz w:val="24"/>
          <w:lang w:eastAsia="zh-CN"/>
        </w:rPr>
        <w:t>伍</w:t>
      </w:r>
      <w:r>
        <w:rPr>
          <w:rFonts w:hint="eastAsia" w:ascii="宋体" w:hAnsi="宋体"/>
          <w:b/>
          <w:sz w:val="24"/>
        </w:rPr>
        <w:t>份，甲方执</w:t>
      </w:r>
      <w:r>
        <w:rPr>
          <w:rFonts w:hint="eastAsia" w:ascii="宋体" w:hAnsi="宋体"/>
          <w:b/>
          <w:sz w:val="24"/>
          <w:lang w:eastAsia="zh-CN"/>
        </w:rPr>
        <w:t>肆</w:t>
      </w:r>
      <w:r>
        <w:rPr>
          <w:rFonts w:hint="eastAsia" w:ascii="宋体" w:hAnsi="宋体"/>
          <w:b/>
          <w:sz w:val="24"/>
        </w:rPr>
        <w:t>份，乙方执壹份，双方授权代表签字或盖章之日起生效。</w:t>
      </w:r>
      <w:r>
        <w:rPr>
          <w:rFonts w:hint="eastAsia" w:ascii="宋体" w:hAnsi="宋体"/>
          <w:sz w:val="24"/>
        </w:rPr>
        <w:t xml:space="preserve">  </w:t>
      </w:r>
      <w:r>
        <w:rPr>
          <w:rFonts w:hint="eastAsia" w:ascii="宋体" w:hAnsi="宋体"/>
          <w:sz w:val="28"/>
          <w:szCs w:val="28"/>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0"/>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40" w:type="dxa"/>
            <w:noWrap w:val="0"/>
            <w:vAlign w:val="top"/>
          </w:tcPr>
          <w:p>
            <w:pPr>
              <w:adjustRightInd w:val="0"/>
              <w:snapToGrid w:val="0"/>
              <w:spacing w:line="360" w:lineRule="auto"/>
              <w:jc w:val="center"/>
              <w:rPr>
                <w:rFonts w:ascii="宋体" w:hAnsi="宋体"/>
                <w:b/>
                <w:sz w:val="28"/>
                <w:szCs w:val="28"/>
              </w:rPr>
            </w:pPr>
            <w:r>
              <w:rPr>
                <w:rFonts w:hint="eastAsia" w:ascii="宋体" w:hAnsi="宋体"/>
                <w:b/>
                <w:sz w:val="28"/>
                <w:szCs w:val="28"/>
              </w:rPr>
              <w:t>甲方</w:t>
            </w:r>
          </w:p>
          <w:p>
            <w:pPr>
              <w:adjustRightInd w:val="0"/>
              <w:snapToGrid w:val="0"/>
              <w:spacing w:line="360" w:lineRule="auto"/>
              <w:rPr>
                <w:rFonts w:hint="eastAsia" w:ascii="宋体" w:hAnsi="宋体"/>
                <w:b/>
                <w:sz w:val="24"/>
              </w:rPr>
            </w:pPr>
            <w:r>
              <w:rPr>
                <w:rFonts w:hint="eastAsia" w:ascii="宋体" w:hAnsi="宋体"/>
                <w:b/>
                <w:sz w:val="24"/>
              </w:rPr>
              <w:t xml:space="preserve">单位名称：南京市疾病预防控制中心 </w:t>
            </w:r>
          </w:p>
          <w:p>
            <w:pPr>
              <w:pStyle w:val="2"/>
              <w:ind w:left="0" w:firstLine="0" w:firstLineChars="0"/>
              <w:rPr>
                <w:rFonts w:hint="eastAsia" w:ascii="宋体" w:hAnsi="宋体" w:eastAsia="宋体"/>
                <w:b/>
                <w:sz w:val="24"/>
                <w:szCs w:val="24"/>
              </w:rPr>
            </w:pPr>
          </w:p>
          <w:p>
            <w:pPr>
              <w:pStyle w:val="2"/>
              <w:ind w:left="0" w:leftChars="0" w:firstLine="0" w:firstLineChars="0"/>
              <w:rPr>
                <w:rFonts w:hint="eastAsia" w:ascii="宋体" w:hAnsi="宋体" w:eastAsia="宋体"/>
                <w:b/>
                <w:sz w:val="24"/>
                <w:szCs w:val="24"/>
              </w:rPr>
            </w:pPr>
            <w:r>
              <w:rPr>
                <w:rFonts w:hint="eastAsia" w:ascii="宋体" w:hAnsi="宋体" w:eastAsia="宋体"/>
                <w:b/>
                <w:sz w:val="24"/>
                <w:szCs w:val="24"/>
              </w:rPr>
              <w:t>授权代表：</w:t>
            </w:r>
          </w:p>
          <w:p>
            <w:pPr>
              <w:pStyle w:val="2"/>
              <w:ind w:left="0" w:firstLine="0" w:firstLineChars="0"/>
              <w:rPr>
                <w:rFonts w:hint="eastAsia" w:ascii="宋体" w:hAnsi="宋体" w:eastAsia="宋体"/>
                <w:b/>
                <w:sz w:val="24"/>
                <w:szCs w:val="24"/>
              </w:rPr>
            </w:pPr>
          </w:p>
          <w:p>
            <w:pPr>
              <w:pStyle w:val="2"/>
              <w:ind w:left="0" w:leftChars="0" w:firstLine="0" w:firstLineChars="0"/>
              <w:rPr>
                <w:rFonts w:hint="eastAsia" w:ascii="宋体" w:hAnsi="宋体" w:eastAsia="宋体"/>
                <w:b/>
                <w:sz w:val="24"/>
                <w:szCs w:val="24"/>
              </w:rPr>
            </w:pPr>
            <w:r>
              <w:rPr>
                <w:rFonts w:hint="eastAsia" w:ascii="宋体" w:hAnsi="宋体" w:eastAsia="宋体"/>
                <w:b/>
                <w:sz w:val="24"/>
                <w:szCs w:val="24"/>
              </w:rPr>
              <w:t>电话：</w:t>
            </w:r>
          </w:p>
          <w:p>
            <w:pPr>
              <w:pStyle w:val="2"/>
              <w:ind w:left="0" w:firstLine="0" w:firstLineChars="0"/>
              <w:rPr>
                <w:rFonts w:hint="eastAsia" w:ascii="宋体" w:hAnsi="宋体" w:eastAsia="宋体"/>
                <w:b/>
                <w:sz w:val="24"/>
                <w:szCs w:val="24"/>
              </w:rPr>
            </w:pPr>
          </w:p>
          <w:p>
            <w:pPr>
              <w:pStyle w:val="2"/>
              <w:ind w:left="0" w:leftChars="0" w:firstLine="0" w:firstLineChars="0"/>
              <w:rPr>
                <w:rFonts w:hint="eastAsia" w:ascii="宋体" w:hAnsi="宋体" w:eastAsia="宋体"/>
                <w:b/>
                <w:sz w:val="24"/>
                <w:szCs w:val="24"/>
              </w:rPr>
            </w:pPr>
            <w:r>
              <w:rPr>
                <w:rFonts w:hint="eastAsia" w:ascii="宋体" w:hAnsi="宋体" w:eastAsia="宋体"/>
                <w:b/>
                <w:sz w:val="24"/>
                <w:szCs w:val="24"/>
              </w:rPr>
              <w:t>传真：025-83538325</w:t>
            </w:r>
          </w:p>
          <w:p>
            <w:pPr>
              <w:pStyle w:val="2"/>
              <w:ind w:left="0" w:firstLine="0" w:firstLineChars="0"/>
              <w:rPr>
                <w:rFonts w:hint="eastAsia" w:ascii="宋体" w:hAnsi="宋体" w:eastAsia="宋体"/>
                <w:b/>
                <w:sz w:val="24"/>
                <w:szCs w:val="24"/>
              </w:rPr>
            </w:pPr>
          </w:p>
          <w:p>
            <w:pPr>
              <w:pStyle w:val="2"/>
              <w:ind w:left="0" w:leftChars="0" w:firstLine="0" w:firstLineChars="0"/>
              <w:rPr>
                <w:rFonts w:hint="eastAsia"/>
              </w:rPr>
            </w:pPr>
            <w:r>
              <w:rPr>
                <w:rFonts w:hint="eastAsia" w:ascii="宋体" w:hAnsi="宋体" w:eastAsia="宋体"/>
                <w:b/>
                <w:sz w:val="24"/>
                <w:szCs w:val="24"/>
              </w:rPr>
              <w:t>地址：南京市鼓楼区紫竹林2号南京市疾控中心</w:t>
            </w:r>
          </w:p>
        </w:tc>
        <w:tc>
          <w:tcPr>
            <w:tcW w:w="4760" w:type="dxa"/>
            <w:noWrap w:val="0"/>
            <w:vAlign w:val="top"/>
          </w:tcPr>
          <w:p>
            <w:pPr>
              <w:adjustRightInd w:val="0"/>
              <w:snapToGrid w:val="0"/>
              <w:spacing w:line="360" w:lineRule="auto"/>
              <w:ind w:left="1405" w:hanging="1405" w:hangingChars="500"/>
              <w:jc w:val="center"/>
              <w:rPr>
                <w:rFonts w:hint="eastAsia" w:ascii="宋体" w:hAnsi="宋体"/>
                <w:b/>
                <w:sz w:val="28"/>
                <w:szCs w:val="28"/>
              </w:rPr>
            </w:pPr>
            <w:r>
              <w:rPr>
                <w:rFonts w:hint="eastAsia" w:ascii="宋体" w:hAnsi="宋体"/>
                <w:b/>
                <w:sz w:val="28"/>
                <w:szCs w:val="28"/>
              </w:rPr>
              <w:t>乙方</w:t>
            </w:r>
          </w:p>
          <w:p>
            <w:pPr>
              <w:adjustRightInd w:val="0"/>
              <w:snapToGrid w:val="0"/>
              <w:spacing w:line="360" w:lineRule="auto"/>
              <w:ind w:left="1205" w:hanging="1205" w:hangingChars="500"/>
              <w:rPr>
                <w:rFonts w:hint="eastAsia" w:ascii="宋体" w:hAnsi="宋体"/>
                <w:b/>
                <w:sz w:val="24"/>
              </w:rPr>
            </w:pPr>
            <w:r>
              <w:rPr>
                <w:rFonts w:hint="eastAsia" w:ascii="宋体" w:hAnsi="宋体"/>
                <w:b/>
                <w:sz w:val="24"/>
              </w:rPr>
              <w:t>单位名称：</w:t>
            </w:r>
          </w:p>
          <w:p>
            <w:pPr>
              <w:adjustRightInd w:val="0"/>
              <w:snapToGrid w:val="0"/>
              <w:spacing w:line="360" w:lineRule="auto"/>
              <w:rPr>
                <w:rFonts w:hint="eastAsia" w:ascii="宋体" w:hAnsi="宋体"/>
                <w:b/>
                <w:sz w:val="24"/>
              </w:rPr>
            </w:pPr>
            <w:r>
              <w:rPr>
                <w:rFonts w:hint="eastAsia" w:ascii="宋体" w:hAnsi="宋体"/>
                <w:b/>
                <w:sz w:val="24"/>
              </w:rPr>
              <w:t>授权代表：</w:t>
            </w:r>
          </w:p>
          <w:p>
            <w:pPr>
              <w:adjustRightInd w:val="0"/>
              <w:snapToGrid w:val="0"/>
              <w:spacing w:line="360" w:lineRule="auto"/>
              <w:rPr>
                <w:rFonts w:hint="eastAsia" w:ascii="宋体" w:hAnsi="宋体"/>
                <w:b/>
                <w:sz w:val="24"/>
              </w:rPr>
            </w:pPr>
            <w:r>
              <w:rPr>
                <w:rFonts w:hint="eastAsia" w:ascii="宋体" w:hAnsi="宋体"/>
                <w:b/>
                <w:sz w:val="24"/>
              </w:rPr>
              <w:t>电话：</w:t>
            </w:r>
          </w:p>
          <w:p>
            <w:pPr>
              <w:adjustRightInd w:val="0"/>
              <w:snapToGrid w:val="0"/>
              <w:spacing w:line="360" w:lineRule="auto"/>
              <w:rPr>
                <w:rFonts w:hint="eastAsia" w:ascii="宋体" w:hAnsi="宋体"/>
                <w:b/>
                <w:sz w:val="24"/>
              </w:rPr>
            </w:pPr>
            <w:r>
              <w:rPr>
                <w:rFonts w:hint="eastAsia" w:ascii="宋体" w:hAnsi="宋体"/>
                <w:b/>
                <w:sz w:val="24"/>
              </w:rPr>
              <w:t>传真：</w:t>
            </w:r>
          </w:p>
          <w:p>
            <w:pPr>
              <w:adjustRightInd w:val="0"/>
              <w:snapToGrid w:val="0"/>
              <w:spacing w:line="360" w:lineRule="auto"/>
              <w:rPr>
                <w:rFonts w:hint="eastAsia" w:ascii="宋体" w:hAnsi="宋体"/>
                <w:b/>
                <w:sz w:val="24"/>
              </w:rPr>
            </w:pPr>
            <w:r>
              <w:rPr>
                <w:rFonts w:hint="eastAsia" w:ascii="宋体" w:hAnsi="宋体"/>
                <w:b/>
                <w:sz w:val="24"/>
              </w:rPr>
              <w:t>开户银行：</w:t>
            </w:r>
          </w:p>
          <w:p>
            <w:pPr>
              <w:adjustRightInd w:val="0"/>
              <w:snapToGrid w:val="0"/>
              <w:spacing w:line="360" w:lineRule="auto"/>
              <w:rPr>
                <w:rFonts w:hint="eastAsia" w:ascii="宋体" w:hAnsi="宋体"/>
                <w:b/>
                <w:sz w:val="24"/>
              </w:rPr>
            </w:pPr>
            <w:r>
              <w:rPr>
                <w:rFonts w:hint="eastAsia" w:ascii="宋体" w:hAnsi="宋体"/>
                <w:b/>
                <w:sz w:val="24"/>
              </w:rPr>
              <w:t>银行帐号：</w:t>
            </w:r>
          </w:p>
          <w:p>
            <w:pPr>
              <w:adjustRightInd w:val="0"/>
              <w:snapToGrid w:val="0"/>
              <w:spacing w:line="360" w:lineRule="auto"/>
              <w:rPr>
                <w:rFonts w:hint="eastAsia" w:ascii="宋体" w:hAnsi="宋体"/>
                <w:b/>
                <w:sz w:val="24"/>
              </w:rPr>
            </w:pPr>
            <w:r>
              <w:rPr>
                <w:rFonts w:hint="eastAsia" w:ascii="宋体" w:hAnsi="宋体"/>
                <w:b/>
                <w:sz w:val="24"/>
              </w:rPr>
              <w:t>税号：</w:t>
            </w:r>
          </w:p>
          <w:p>
            <w:pPr>
              <w:adjustRightInd w:val="0"/>
              <w:snapToGrid w:val="0"/>
              <w:spacing w:line="360" w:lineRule="auto"/>
              <w:ind w:left="1205" w:hanging="1205" w:hangingChars="500"/>
              <w:rPr>
                <w:rFonts w:hint="eastAsia" w:ascii="宋体" w:hAnsi="宋体"/>
                <w:b/>
                <w:sz w:val="24"/>
              </w:rPr>
            </w:pPr>
            <w:r>
              <w:rPr>
                <w:rFonts w:hint="eastAsia" w:ascii="宋体" w:hAnsi="宋体"/>
                <w:b/>
                <w:sz w:val="24"/>
              </w:rPr>
              <w:t>地址：</w:t>
            </w:r>
          </w:p>
          <w:p>
            <w:pPr>
              <w:adjustRightInd w:val="0"/>
              <w:snapToGrid w:val="0"/>
              <w:spacing w:line="360" w:lineRule="auto"/>
              <w:rPr>
                <w:rFonts w:hint="eastAsia" w:ascii="宋体" w:hAnsi="宋体"/>
                <w:b/>
                <w:sz w:val="28"/>
                <w:szCs w:val="28"/>
              </w:rPr>
            </w:pPr>
            <w:r>
              <w:rPr>
                <w:rFonts w:hint="eastAsia" w:ascii="宋体" w:hAnsi="宋体"/>
                <w:b/>
                <w:sz w:val="24"/>
              </w:rPr>
              <w:t>邮政编码：</w:t>
            </w:r>
          </w:p>
        </w:tc>
      </w:tr>
    </w:tbl>
    <w:p>
      <w:pPr>
        <w:rPr>
          <w:rFonts w:hint="eastAsia" w:ascii="黑体" w:hAnsi="黑体" w:eastAsia="黑体"/>
          <w:sz w:val="32"/>
          <w:szCs w:val="32"/>
        </w:rPr>
      </w:pPr>
    </w:p>
    <w:p>
      <w:pPr>
        <w:spacing w:line="360" w:lineRule="auto"/>
        <w:jc w:val="left"/>
        <w:rPr>
          <w:rFonts w:ascii="宋体" w:hAnsi="宋体" w:cs="宋体"/>
          <w:color w:val="000000"/>
          <w:kern w:val="0"/>
          <w:szCs w:val="21"/>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widowControl/>
        <w:jc w:val="center"/>
        <w:rPr>
          <w:rFonts w:ascii="宋体" w:hAnsi="宋体" w:cs="宋体"/>
          <w:b/>
          <w:color w:val="000000"/>
          <w:kern w:val="0"/>
          <w:sz w:val="36"/>
          <w:szCs w:val="36"/>
        </w:rPr>
      </w:pPr>
      <w:r>
        <w:rPr>
          <w:rFonts w:hint="eastAsia" w:ascii="宋体" w:hAnsi="宋体" w:cs="宋体"/>
          <w:b/>
          <w:color w:val="000000"/>
          <w:kern w:val="0"/>
          <w:sz w:val="36"/>
          <w:szCs w:val="36"/>
        </w:rPr>
        <w:t>第五章投标文件格式及附件</w:t>
      </w:r>
    </w:p>
    <w:p>
      <w:pPr>
        <w:pStyle w:val="10"/>
        <w:ind w:firstLine="420"/>
      </w:pPr>
    </w:p>
    <w:p>
      <w:pPr>
        <w:widowControl/>
        <w:rPr>
          <w:rFonts w:ascii="宋体" w:hAnsi="宋体" w:cs="宋体"/>
          <w:color w:val="000000"/>
          <w:kern w:val="0"/>
          <w:sz w:val="84"/>
          <w:szCs w:val="84"/>
        </w:rPr>
      </w:pPr>
    </w:p>
    <w:p>
      <w:pPr>
        <w:pStyle w:val="10"/>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10"/>
        <w:ind w:firstLine="420"/>
        <w:rPr>
          <w:lang w:val="en-US"/>
        </w:rPr>
      </w:pPr>
    </w:p>
    <w:p>
      <w:pPr>
        <w:pStyle w:val="10"/>
        <w:ind w:firstLine="420"/>
        <w:rPr>
          <w:lang w:val="en-US"/>
        </w:rPr>
      </w:pPr>
    </w:p>
    <w:p>
      <w:pPr>
        <w:pStyle w:val="10"/>
        <w:ind w:firstLine="420"/>
        <w:rPr>
          <w:lang w:val="en-US"/>
        </w:rPr>
      </w:pPr>
    </w:p>
    <w:p>
      <w:pPr>
        <w:pStyle w:val="10"/>
        <w:ind w:firstLine="420"/>
        <w:rPr>
          <w:lang w:val="en-US"/>
        </w:rPr>
      </w:pPr>
    </w:p>
    <w:p>
      <w:pPr>
        <w:pStyle w:val="10"/>
        <w:ind w:firstLine="420"/>
        <w:rPr>
          <w:lang w:val="en-US"/>
        </w:rPr>
      </w:pPr>
    </w:p>
    <w:p>
      <w:pPr>
        <w:pStyle w:val="10"/>
        <w:ind w:firstLine="420"/>
        <w:rPr>
          <w:lang w:val="en-US"/>
        </w:rPr>
      </w:pPr>
    </w:p>
    <w:p>
      <w:pPr>
        <w:pStyle w:val="10"/>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供应商根据采购要求编制以下格式的评分索引表格。否则，可能影响对响应文件的评价。</w:t>
      </w:r>
    </w:p>
    <w:p>
      <w:pPr>
        <w:widowControl/>
        <w:ind w:firstLine="3640" w:firstLineChars="13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pStyle w:val="10"/>
        <w:ind w:firstLine="560"/>
        <w:rPr>
          <w:rFonts w:ascii="黑体" w:hAnsi="宋体" w:eastAsia="黑体" w:cs="黑体"/>
          <w:color w:val="000000"/>
          <w:kern w:val="0"/>
          <w:sz w:val="28"/>
          <w:szCs w:val="28"/>
          <w:lang w:val="en-US"/>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按招标要求，我们的投标报价为</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满足招标文件要求</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本授权书声明：注册于（供应商住址）的（供应商名称）法定代表人（法定代表人姓名、职务）代表本公司授权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在下面签字的（供应商代表姓名、职务）为本公司的合法代理人，就贵方组织的（项目名称）投标，以本公司名义处理一切与之有关的事务。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w:t>
      </w:r>
    </w:p>
    <w:p>
      <w:pPr>
        <w:jc w:val="center"/>
        <w:rPr>
          <w:b/>
          <w:bCs/>
          <w:sz w:val="28"/>
          <w:szCs w:val="28"/>
        </w:rPr>
      </w:pPr>
      <w:r>
        <w:rPr>
          <w:rFonts w:hint="eastAsia"/>
          <w:b/>
          <w:bCs/>
          <w:sz w:val="28"/>
          <w:szCs w:val="28"/>
        </w:rPr>
        <w:t>报价单</w:t>
      </w:r>
    </w:p>
    <w:tbl>
      <w:tblPr>
        <w:tblStyle w:val="6"/>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9"/>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10"/>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分项报价表格式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日期：年月日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pStyle w:val="2"/>
        <w:ind w:left="1470" w:right="147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附件四、商务条款偏离表格式</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说明：如果行数不够，请自行增加。</w:t>
      </w:r>
    </w:p>
    <w:p>
      <w:pPr>
        <w:widowControl/>
        <w:ind w:firstLine="5670" w:firstLineChars="2700"/>
        <w:jc w:val="left"/>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附件五、项目实施方案（自拟）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pStyle w:val="10"/>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联系方式</w:t>
            </w:r>
          </w:p>
        </w:tc>
        <w:tc>
          <w:tcPr>
            <w:tcW w:w="2018" w:type="dxa"/>
          </w:tcPr>
          <w:p>
            <w:pPr>
              <w:widowControl/>
              <w:jc w:val="left"/>
            </w:pPr>
            <w:r>
              <w:rPr>
                <w:rFonts w:hint="eastAsia" w:ascii="宋体" w:hAnsi="宋体" w:cs="宋体"/>
                <w:b/>
                <w:color w:val="000000"/>
                <w:kern w:val="0"/>
                <w:szCs w:val="21"/>
              </w:rPr>
              <w:t>年采购金额</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pPr>
      <w:r>
        <w:rPr>
          <w:rFonts w:hint="eastAsia" w:ascii="宋体" w:hAnsi="宋体" w:cs="宋体"/>
          <w:color w:val="000000"/>
          <w:kern w:val="0"/>
          <w:szCs w:val="21"/>
        </w:rPr>
        <w:t>2、证明材料按磋商文件要求按序作为本表附页附后。</w:t>
      </w:r>
    </w:p>
    <w:p>
      <w:pPr>
        <w:pStyle w:val="10"/>
        <w:ind w:firstLine="420"/>
        <w:rPr>
          <w:rFonts w:ascii="宋体" w:hAnsi="宋体" w:cs="宋体"/>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pStyle w:val="10"/>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未提供或未按要求提供以上材料的，将不能通过资格审查。</w:t>
      </w: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pStyle w:val="10"/>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1、法人、其他组织的营业执照，自然人的身份证明复印件</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2、无重大违法记录声明</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我单位（供应商名称）郑重声明：</w:t>
      </w:r>
    </w:p>
    <w:p>
      <w:pPr>
        <w:widowControl/>
        <w:spacing w:line="360" w:lineRule="auto"/>
        <w:ind w:firstLine="420" w:firstLineChars="200"/>
        <w:jc w:val="left"/>
        <w:rPr>
          <w:szCs w:val="21"/>
        </w:rPr>
      </w:pPr>
      <w:r>
        <w:rPr>
          <w:rFonts w:hint="eastAsia" w:ascii="宋体" w:hAnsi="宋体" w:cs="宋体"/>
          <w:color w:val="000000"/>
          <w:kern w:val="0"/>
          <w:szCs w:val="21"/>
        </w:rPr>
        <w:t>参加政府采购活动前 3 年内在经营活动中（在下划线上如实填写：有或没有）重大违法记录。</w:t>
      </w:r>
    </w:p>
    <w:p>
      <w:pPr>
        <w:widowControl/>
        <w:spacing w:line="360" w:lineRule="auto"/>
        <w:ind w:firstLine="420" w:firstLineChars="200"/>
        <w:jc w:val="left"/>
        <w:rPr>
          <w:szCs w:val="21"/>
        </w:rPr>
      </w:pPr>
      <w:r>
        <w:rPr>
          <w:rFonts w:hint="eastAsia" w:ascii="宋体" w:hAnsi="宋体" w:cs="宋体"/>
          <w:color w:val="000000"/>
          <w:kern w:val="0"/>
          <w:szCs w:val="21"/>
        </w:rPr>
        <w:t>（说明：政府采购法第二十二条第一款第五项所称重大违法记录，是指供应商因违法经营受到刑事处罚或者责令停产停业、吊销许可证或者执照、较大数额罚款等行政处罚。）</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pPr>
      <w:r>
        <w:rPr>
          <w:rFonts w:hint="eastAsia" w:ascii="宋体" w:hAnsi="宋体" w:cs="宋体"/>
          <w:color w:val="000000"/>
          <w:kern w:val="0"/>
          <w:szCs w:val="21"/>
        </w:rPr>
        <w:t>年月日</w:t>
      </w:r>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CF3C8155"/>
    <w:multiLevelType w:val="singleLevel"/>
    <w:tmpl w:val="CF3C8155"/>
    <w:lvl w:ilvl="0" w:tentative="0">
      <w:start w:val="2"/>
      <w:numFmt w:val="decimal"/>
      <w:suff w:val="nothing"/>
      <w:lvlText w:val="%1、"/>
      <w:lvlJc w:val="left"/>
    </w:lvl>
  </w:abstractNum>
  <w:abstractNum w:abstractNumId="2">
    <w:nsid w:val="F1E931EC"/>
    <w:multiLevelType w:val="singleLevel"/>
    <w:tmpl w:val="F1E931EC"/>
    <w:lvl w:ilvl="0" w:tentative="0">
      <w:start w:val="15"/>
      <w:numFmt w:val="chineseCounting"/>
      <w:suff w:val="nothing"/>
      <w:lvlText w:val="%1、"/>
      <w:lvlJc w:val="left"/>
      <w:rPr>
        <w:rFonts w:hint="eastAsia"/>
      </w:rPr>
    </w:lvl>
  </w:abstractNum>
  <w:abstractNum w:abstractNumId="3">
    <w:nsid w:val="0000000A"/>
    <w:multiLevelType w:val="multilevel"/>
    <w:tmpl w:val="0000000A"/>
    <w:lvl w:ilvl="0" w:tentative="0">
      <w:start w:val="1"/>
      <w:numFmt w:val="japaneseCounting"/>
      <w:lvlText w:val="（%1）"/>
      <w:lvlJc w:val="left"/>
      <w:pPr>
        <w:tabs>
          <w:tab w:val="left" w:pos="1682"/>
        </w:tabs>
        <w:ind w:left="1682" w:hanging="1080"/>
      </w:pPr>
      <w:rPr>
        <w:rFonts w:hint="default"/>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abstractNum w:abstractNumId="4">
    <w:nsid w:val="041BBCFB"/>
    <w:multiLevelType w:val="singleLevel"/>
    <w:tmpl w:val="041BBCFB"/>
    <w:lvl w:ilvl="0" w:tentative="0">
      <w:start w:val="1"/>
      <w:numFmt w:val="decimal"/>
      <w:lvlText w:val="(%1)"/>
      <w:lvlJc w:val="left"/>
      <w:pPr>
        <w:ind w:left="425" w:hanging="425"/>
      </w:pPr>
      <w:rPr>
        <w:rFonts w:hint="default"/>
      </w:rPr>
    </w:lvl>
  </w:abstractNum>
  <w:abstractNum w:abstractNumId="5">
    <w:nsid w:val="181D9A65"/>
    <w:multiLevelType w:val="singleLevel"/>
    <w:tmpl w:val="181D9A65"/>
    <w:lvl w:ilvl="0" w:tentative="0">
      <w:start w:val="1"/>
      <w:numFmt w:val="chineseCounting"/>
      <w:suff w:val="nothing"/>
      <w:lvlText w:val="%1、"/>
      <w:lvlJc w:val="left"/>
      <w:pPr>
        <w:ind w:left="147" w:firstLine="420"/>
      </w:pPr>
      <w:rPr>
        <w:rFonts w:hint="eastAsia"/>
      </w:rPr>
    </w:lvl>
  </w:abstractNum>
  <w:abstractNum w:abstractNumId="6">
    <w:nsid w:val="1F852713"/>
    <w:multiLevelType w:val="singleLevel"/>
    <w:tmpl w:val="1F852713"/>
    <w:lvl w:ilvl="0" w:tentative="0">
      <w:start w:val="1"/>
      <w:numFmt w:val="chineseCounting"/>
      <w:suff w:val="space"/>
      <w:lvlText w:val="第%1章"/>
      <w:lvlJc w:val="left"/>
      <w:rPr>
        <w:rFonts w:hint="eastAsia"/>
      </w:rPr>
    </w:lvl>
  </w:abstractNum>
  <w:abstractNum w:abstractNumId="7">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B36D9"/>
    <w:rsid w:val="07C87520"/>
    <w:rsid w:val="099B36D9"/>
    <w:rsid w:val="2B1E02AB"/>
    <w:rsid w:val="2E982811"/>
    <w:rsid w:val="423C09F1"/>
    <w:rsid w:val="57FB4F9D"/>
    <w:rsid w:val="79B6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sz w:val="24"/>
      <w:szCs w:val="24"/>
    </w:rPr>
  </w:style>
  <w:style w:type="paragraph" w:styleId="3">
    <w:name w:val="Normal Indent"/>
    <w:basedOn w:val="1"/>
    <w:qFormat/>
    <w:uiPriority w:val="0"/>
    <w:pPr>
      <w:ind w:firstLine="420"/>
    </w:pPr>
    <w:rPr>
      <w:b/>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rPr>
      <w:rFonts w:ascii="Calibri" w:hAnsi="Calibri"/>
    </w:rPr>
  </w:style>
  <w:style w:type="paragraph" w:customStyle="1" w:styleId="10">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2021-10-22T06:58:00Z</dcterms:created>
  <dc:creator>旖旎</dc:creator>
  <cp:lastModifiedBy>旖旎</cp:lastModifiedBy>
  <cp:lastPrinted>2021-11-08T02:46:00Z</cp:lastPrinted>
  <dcterms:modified xsi:type="dcterms:W3CDTF">2021-11-10T08:00:18Z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8E8795AB579F477792241C23E66B5124</vt:lpwstr>
  </property>
</Properties>
</file>