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6"/>
          <w:szCs w:val="56"/>
        </w:rPr>
      </w:pPr>
      <w:r>
        <w:rPr>
          <w:rFonts w:hint="eastAsia" w:eastAsia="黑体"/>
          <w:b/>
          <w:bCs/>
          <w:sz w:val="56"/>
          <w:szCs w:val="56"/>
        </w:rPr>
        <w:t>《南京市疾控中心空调维保》</w:t>
      </w:r>
    </w:p>
    <w:p>
      <w:pPr>
        <w:spacing w:line="360" w:lineRule="auto"/>
        <w:jc w:val="center"/>
        <w:rPr>
          <w:rFonts w:eastAsia="黑体"/>
          <w:b/>
          <w:bCs/>
          <w:sz w:val="56"/>
          <w:szCs w:val="56"/>
        </w:rPr>
      </w:pPr>
      <w:r>
        <w:rPr>
          <w:rFonts w:hint="eastAsia" w:eastAsia="黑体"/>
          <w:b/>
          <w:bCs/>
          <w:sz w:val="56"/>
          <w:szCs w:val="56"/>
        </w:rPr>
        <w:t>服务</w:t>
      </w:r>
      <w:r>
        <w:rPr>
          <w:rFonts w:eastAsia="黑体"/>
          <w:b/>
          <w:bCs/>
          <w:sz w:val="56"/>
          <w:szCs w:val="56"/>
        </w:rPr>
        <w:t>项目</w:t>
      </w:r>
      <w:r>
        <w:rPr>
          <w:rFonts w:hint="eastAsia" w:eastAsia="黑体"/>
          <w:b/>
          <w:bCs/>
          <w:sz w:val="56"/>
          <w:szCs w:val="56"/>
        </w:rPr>
        <w:t>采购</w:t>
      </w:r>
    </w:p>
    <w:p/>
    <w:p>
      <w:pPr>
        <w:spacing w:line="360" w:lineRule="auto"/>
        <w:ind w:firstLine="420" w:firstLineChars="200"/>
        <w:rPr>
          <w:rFonts w:ascii="宋体" w:hAnsi="宋体"/>
          <w:szCs w:val="21"/>
        </w:rPr>
      </w:pPr>
      <w:r>
        <w:rPr>
          <w:rFonts w:hint="eastAsia" w:ascii="宋体" w:hAnsi="宋体"/>
          <w:szCs w:val="21"/>
        </w:rPr>
        <w:t>中心拟采购</w:t>
      </w:r>
      <w:r>
        <w:rPr>
          <w:rFonts w:hint="eastAsia" w:ascii="宋体" w:hAnsi="宋体"/>
          <w:szCs w:val="21"/>
          <w:highlight w:val="none"/>
        </w:rPr>
        <w:t>空调维保服务，为期2年，要求专人对接，至少1名备用人员对空调进行清洁保养、检修及维修。总预算：10万元，采用综</w:t>
      </w:r>
      <w:r>
        <w:rPr>
          <w:rFonts w:hint="eastAsia" w:ascii="宋体" w:hAnsi="宋体"/>
          <w:szCs w:val="21"/>
        </w:rPr>
        <w:t>合评分法，不接受联合体投标。欢迎符合资格条件的供应商参加。现将采购工作等相关事宜，公告如下:</w:t>
      </w:r>
    </w:p>
    <w:p>
      <w:pPr>
        <w:numPr>
          <w:ilvl w:val="0"/>
          <w:numId w:val="1"/>
        </w:numPr>
        <w:spacing w:after="120" w:line="360" w:lineRule="auto"/>
        <w:rPr>
          <w:rFonts w:ascii="宋体" w:hAnsi="宋体"/>
          <w:szCs w:val="21"/>
        </w:rPr>
      </w:pPr>
      <w:r>
        <w:rPr>
          <w:rFonts w:hint="eastAsia" w:ascii="宋体" w:hAnsi="宋体"/>
          <w:szCs w:val="21"/>
        </w:rPr>
        <w:t>采购单位及采购联系人：</w:t>
      </w:r>
    </w:p>
    <w:p>
      <w:pPr>
        <w:pStyle w:val="13"/>
        <w:spacing w:line="360" w:lineRule="auto"/>
        <w:ind w:left="862" w:firstLine="0" w:firstLineChars="0"/>
        <w:rPr>
          <w:rFonts w:ascii="宋体" w:hAnsi="宋体"/>
          <w:szCs w:val="21"/>
        </w:rPr>
      </w:pPr>
      <w:r>
        <w:rPr>
          <w:rFonts w:hint="eastAsia" w:ascii="宋体" w:hAnsi="宋体"/>
          <w:szCs w:val="21"/>
        </w:rPr>
        <w:t>南京市疾病预防控制中心采购办联系人：程工   联系电话：</w:t>
      </w:r>
      <w:r>
        <w:rPr>
          <w:rFonts w:ascii="宋体" w:hAnsi="宋体"/>
          <w:szCs w:val="21"/>
        </w:rPr>
        <w:t>025-835383</w:t>
      </w:r>
      <w:r>
        <w:rPr>
          <w:rFonts w:hint="eastAsia" w:ascii="宋体" w:hAnsi="宋体"/>
          <w:szCs w:val="21"/>
        </w:rPr>
        <w:t>7</w:t>
      </w:r>
      <w:r>
        <w:rPr>
          <w:rFonts w:ascii="宋体" w:hAnsi="宋体"/>
          <w:szCs w:val="21"/>
        </w:rPr>
        <w:t>5</w:t>
      </w:r>
      <w:r>
        <w:rPr>
          <w:rFonts w:hint="eastAsia" w:ascii="宋体" w:hAnsi="宋体"/>
          <w:szCs w:val="21"/>
        </w:rPr>
        <w:t>。</w:t>
      </w:r>
    </w:p>
    <w:p>
      <w:pPr>
        <w:pStyle w:val="13"/>
        <w:spacing w:line="360" w:lineRule="auto"/>
        <w:ind w:left="862" w:firstLine="2310" w:firstLineChars="1100"/>
        <w:rPr>
          <w:rFonts w:ascii="宋体" w:hAnsi="宋体"/>
          <w:szCs w:val="21"/>
        </w:rPr>
      </w:pPr>
      <w:r>
        <w:rPr>
          <w:rFonts w:hint="eastAsia" w:ascii="宋体" w:hAnsi="宋体"/>
          <w:szCs w:val="21"/>
        </w:rPr>
        <w:t>项目联系人：物资设备科，赵科，83538392</w:t>
      </w:r>
    </w:p>
    <w:p>
      <w:pPr>
        <w:numPr>
          <w:ilvl w:val="0"/>
          <w:numId w:val="1"/>
        </w:numPr>
        <w:spacing w:after="120" w:line="360" w:lineRule="auto"/>
        <w:rPr>
          <w:rFonts w:ascii="宋体" w:hAnsi="宋体"/>
          <w:szCs w:val="21"/>
        </w:rPr>
      </w:pPr>
      <w:r>
        <w:rPr>
          <w:rFonts w:hint="eastAsia" w:ascii="宋体" w:hAnsi="宋体"/>
          <w:szCs w:val="21"/>
        </w:rPr>
        <w:t>响应时间、地点及其他要求</w:t>
      </w:r>
    </w:p>
    <w:p>
      <w:pPr>
        <w:numPr>
          <w:ilvl w:val="0"/>
          <w:numId w:val="2"/>
        </w:numPr>
        <w:spacing w:after="120" w:line="360" w:lineRule="auto"/>
        <w:rPr>
          <w:rFonts w:ascii="宋体" w:hAnsi="宋体" w:cs="宋体"/>
          <w:color w:val="000000"/>
          <w:szCs w:val="21"/>
          <w:lang w:val="zh-CN"/>
        </w:rPr>
      </w:pPr>
      <w:r>
        <w:rPr>
          <w:rFonts w:hint="eastAsia" w:ascii="宋体" w:hAnsi="宋体"/>
          <w:szCs w:val="21"/>
        </w:rPr>
        <w:t>响应文件份数：纸质版一式叁份（壹份正本、贰份副本）每份响应文件须清楚标明“正本”或“副本”字样。一旦正本和副本不符，以正本为准。</w:t>
      </w:r>
    </w:p>
    <w:p>
      <w:pPr>
        <w:numPr>
          <w:ilvl w:val="0"/>
          <w:numId w:val="2"/>
        </w:numPr>
        <w:spacing w:after="120" w:line="360" w:lineRule="auto"/>
        <w:rPr>
          <w:rFonts w:ascii="宋体" w:hAnsi="宋体"/>
          <w:szCs w:val="21"/>
          <w:lang w:val="zh-CN"/>
        </w:rPr>
      </w:pPr>
      <w:r>
        <w:rPr>
          <w:rFonts w:hint="eastAsia" w:ascii="宋体" w:hAnsi="宋体"/>
          <w:szCs w:val="21"/>
          <w:lang w:val="zh-CN"/>
        </w:rPr>
        <w:t>响应文件地点：南京市疾控中心紫竹林3号</w:t>
      </w:r>
      <w:r>
        <w:rPr>
          <w:rFonts w:hint="eastAsia" w:ascii="宋体" w:hAnsi="宋体"/>
          <w:szCs w:val="21"/>
        </w:rPr>
        <w:t>2楼会议室；</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递交响应文件开始时间：</w:t>
      </w:r>
      <w:r>
        <w:rPr>
          <w:rFonts w:hint="eastAsia" w:ascii="宋体" w:hAnsi="宋体"/>
          <w:color w:val="FF0000"/>
          <w:szCs w:val="21"/>
        </w:rPr>
        <w:t>2021</w:t>
      </w:r>
      <w:r>
        <w:rPr>
          <w:rFonts w:hint="eastAsia" w:ascii="宋体" w:hAnsi="宋体"/>
          <w:color w:val="FF0000"/>
          <w:szCs w:val="21"/>
          <w:lang w:val="zh-CN"/>
        </w:rPr>
        <w:t>年</w:t>
      </w:r>
      <w:r>
        <w:rPr>
          <w:rFonts w:hint="eastAsia" w:ascii="宋体" w:hAnsi="宋体"/>
          <w:color w:val="FF0000"/>
          <w:szCs w:val="21"/>
        </w:rPr>
        <w:t xml:space="preserve"> 5 </w:t>
      </w:r>
      <w:r>
        <w:rPr>
          <w:rFonts w:hint="eastAsia" w:ascii="宋体" w:hAnsi="宋体"/>
          <w:color w:val="FF0000"/>
          <w:szCs w:val="21"/>
          <w:lang w:val="zh-CN"/>
        </w:rPr>
        <w:t>月</w:t>
      </w:r>
      <w:r>
        <w:rPr>
          <w:rFonts w:hint="eastAsia" w:ascii="宋体" w:hAnsi="宋体"/>
          <w:color w:val="FF0000"/>
          <w:szCs w:val="21"/>
          <w:lang w:val="en-US" w:eastAsia="zh-CN"/>
        </w:rPr>
        <w:t>28</w:t>
      </w:r>
      <w:r>
        <w:rPr>
          <w:rFonts w:hint="eastAsia" w:ascii="宋体" w:hAnsi="宋体"/>
          <w:color w:val="FF0000"/>
          <w:szCs w:val="21"/>
          <w:lang w:val="zh-CN"/>
        </w:rPr>
        <w:t>日下午</w:t>
      </w:r>
      <w:r>
        <w:rPr>
          <w:rFonts w:hint="eastAsia" w:ascii="宋体" w:hAnsi="宋体"/>
          <w:color w:val="FF0000"/>
          <w:szCs w:val="21"/>
          <w:lang w:val="en-US" w:eastAsia="zh-CN"/>
        </w:rPr>
        <w:t>15</w:t>
      </w:r>
      <w:r>
        <w:rPr>
          <w:rFonts w:hint="eastAsia" w:ascii="宋体" w:hAnsi="宋体"/>
          <w:color w:val="FF0000"/>
          <w:szCs w:val="21"/>
        </w:rPr>
        <w:t>：</w:t>
      </w:r>
      <w:r>
        <w:rPr>
          <w:rFonts w:hint="eastAsia" w:ascii="宋体" w:hAnsi="宋体"/>
          <w:color w:val="FF0000"/>
          <w:szCs w:val="21"/>
          <w:lang w:val="en-US" w:eastAsia="zh-CN"/>
        </w:rPr>
        <w:t>0</w:t>
      </w:r>
      <w:r>
        <w:rPr>
          <w:rFonts w:hint="eastAsia" w:ascii="宋体" w:hAnsi="宋体"/>
          <w:color w:val="FF0000"/>
          <w:szCs w:val="21"/>
        </w:rPr>
        <w:t>0</w:t>
      </w:r>
      <w:r>
        <w:rPr>
          <w:rFonts w:hint="eastAsia" w:ascii="宋体" w:hAnsi="宋体"/>
          <w:szCs w:val="21"/>
        </w:rPr>
        <w:t>（北京时间）；</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递交响应文件截止时间：</w:t>
      </w:r>
      <w:r>
        <w:rPr>
          <w:rFonts w:hint="eastAsia" w:ascii="宋体" w:hAnsi="宋体"/>
          <w:color w:val="FF0000"/>
          <w:szCs w:val="21"/>
          <w:lang w:val="zh-CN"/>
        </w:rPr>
        <w:t>20</w:t>
      </w:r>
      <w:r>
        <w:rPr>
          <w:rFonts w:hint="eastAsia" w:ascii="宋体" w:hAnsi="宋体"/>
          <w:color w:val="FF0000"/>
          <w:szCs w:val="21"/>
        </w:rPr>
        <w:t>21</w:t>
      </w:r>
      <w:r>
        <w:rPr>
          <w:rFonts w:hint="eastAsia" w:ascii="宋体" w:hAnsi="宋体"/>
          <w:color w:val="FF0000"/>
          <w:szCs w:val="21"/>
          <w:lang w:val="zh-CN"/>
        </w:rPr>
        <w:t>年</w:t>
      </w:r>
      <w:r>
        <w:rPr>
          <w:rFonts w:hint="eastAsia" w:ascii="宋体" w:hAnsi="宋体"/>
          <w:color w:val="FF0000"/>
          <w:szCs w:val="21"/>
        </w:rPr>
        <w:t xml:space="preserve">5 </w:t>
      </w:r>
      <w:r>
        <w:rPr>
          <w:rFonts w:hint="eastAsia" w:ascii="宋体" w:hAnsi="宋体"/>
          <w:color w:val="FF0000"/>
          <w:szCs w:val="21"/>
          <w:lang w:val="zh-CN"/>
        </w:rPr>
        <w:t>月</w:t>
      </w:r>
      <w:r>
        <w:rPr>
          <w:rFonts w:hint="eastAsia" w:ascii="宋体" w:hAnsi="宋体"/>
          <w:color w:val="FF0000"/>
          <w:szCs w:val="21"/>
          <w:lang w:val="en-US" w:eastAsia="zh-CN"/>
        </w:rPr>
        <w:t>28</w:t>
      </w:r>
      <w:r>
        <w:rPr>
          <w:rFonts w:hint="eastAsia" w:ascii="宋体" w:hAnsi="宋体"/>
          <w:color w:val="FF0000"/>
          <w:szCs w:val="21"/>
          <w:lang w:val="zh-CN"/>
        </w:rPr>
        <w:t>日下</w:t>
      </w:r>
      <w:r>
        <w:rPr>
          <w:rFonts w:hint="eastAsia" w:ascii="宋体" w:hAnsi="宋体"/>
          <w:color w:val="FF0000"/>
          <w:szCs w:val="21"/>
        </w:rPr>
        <w:t>午</w:t>
      </w:r>
      <w:r>
        <w:rPr>
          <w:rFonts w:hint="eastAsia" w:ascii="宋体" w:hAnsi="宋体"/>
          <w:color w:val="FF0000"/>
          <w:szCs w:val="21"/>
          <w:lang w:val="en-US" w:eastAsia="zh-CN"/>
        </w:rPr>
        <w:t>15</w:t>
      </w:r>
      <w:r>
        <w:rPr>
          <w:rFonts w:hint="eastAsia" w:ascii="宋体" w:hAnsi="宋体"/>
          <w:color w:val="FF0000"/>
          <w:szCs w:val="21"/>
        </w:rPr>
        <w:t>：29</w:t>
      </w:r>
      <w:r>
        <w:rPr>
          <w:rFonts w:hint="eastAsia" w:ascii="宋体" w:hAnsi="宋体"/>
          <w:szCs w:val="21"/>
        </w:rPr>
        <w:t>（北京时间）</w:t>
      </w:r>
      <w:r>
        <w:rPr>
          <w:rFonts w:hint="eastAsia" w:ascii="宋体" w:hAnsi="宋体"/>
          <w:szCs w:val="21"/>
          <w:lang w:val="zh-CN"/>
        </w:rPr>
        <w:t>；</w:t>
      </w:r>
    </w:p>
    <w:p>
      <w:pPr>
        <w:widowControl/>
        <w:shd w:val="clear" w:color="auto" w:fill="FFFFFF"/>
        <w:spacing w:after="120" w:line="360" w:lineRule="auto"/>
        <w:ind w:firstLine="412"/>
        <w:rPr>
          <w:rFonts w:ascii="宋体" w:hAnsi="宋体" w:cs="宋体"/>
          <w:b/>
          <w:kern w:val="0"/>
          <w:szCs w:val="21"/>
        </w:rPr>
      </w:pPr>
      <w:r>
        <w:rPr>
          <w:rFonts w:hint="eastAsia" w:ascii="宋体" w:hAnsi="宋体" w:cs="宋体"/>
          <w:b/>
          <w:kern w:val="0"/>
          <w:szCs w:val="21"/>
        </w:rPr>
        <w:t>响应文件所报的响应价格不得超过预算总价，超过预算总价的按无效投标</w:t>
      </w:r>
      <w:bookmarkStart w:id="1" w:name="_GoBack"/>
      <w:bookmarkEnd w:id="1"/>
      <w:r>
        <w:rPr>
          <w:rFonts w:hint="eastAsia" w:ascii="宋体" w:hAnsi="宋体" w:cs="宋体"/>
          <w:b/>
          <w:kern w:val="0"/>
          <w:szCs w:val="21"/>
        </w:rPr>
        <w:t>处理。</w:t>
      </w:r>
    </w:p>
    <w:p>
      <w:pPr>
        <w:numPr>
          <w:ilvl w:val="0"/>
          <w:numId w:val="1"/>
        </w:numPr>
        <w:spacing w:after="120" w:line="360" w:lineRule="auto"/>
        <w:rPr>
          <w:rFonts w:ascii="宋体" w:hAnsi="宋体"/>
          <w:szCs w:val="21"/>
        </w:rPr>
      </w:pPr>
      <w:r>
        <w:rPr>
          <w:rFonts w:hint="eastAsia" w:ascii="宋体" w:hAnsi="宋体"/>
          <w:szCs w:val="21"/>
        </w:rPr>
        <w:t>开标及评标时间、地点及其他要求：</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olor w:val="FF0000"/>
          <w:szCs w:val="21"/>
        </w:rPr>
        <w:t>20</w:t>
      </w:r>
      <w:r>
        <w:rPr>
          <w:rFonts w:hint="eastAsia" w:ascii="宋体" w:hAnsi="宋体"/>
          <w:color w:val="FF0000"/>
          <w:szCs w:val="21"/>
        </w:rPr>
        <w:t>21年5月</w:t>
      </w:r>
      <w:r>
        <w:rPr>
          <w:rFonts w:hint="eastAsia" w:ascii="宋体" w:hAnsi="宋体"/>
          <w:color w:val="FF0000"/>
          <w:szCs w:val="21"/>
          <w:lang w:val="en-US" w:eastAsia="zh-CN"/>
        </w:rPr>
        <w:t>28</w:t>
      </w:r>
      <w:r>
        <w:rPr>
          <w:rFonts w:hint="eastAsia" w:ascii="宋体" w:hAnsi="宋体"/>
          <w:color w:val="FF0000"/>
          <w:szCs w:val="21"/>
        </w:rPr>
        <w:t>日</w:t>
      </w:r>
      <w:r>
        <w:rPr>
          <w:rFonts w:hint="eastAsia" w:ascii="宋体" w:hAnsi="宋体"/>
          <w:color w:val="FF0000"/>
          <w:szCs w:val="21"/>
          <w:lang w:eastAsia="zh-CN"/>
        </w:rPr>
        <w:t>下</w:t>
      </w:r>
      <w:r>
        <w:rPr>
          <w:rFonts w:hint="eastAsia" w:ascii="宋体" w:hAnsi="宋体"/>
          <w:color w:val="FF0000"/>
          <w:szCs w:val="21"/>
        </w:rPr>
        <w:t>午</w:t>
      </w:r>
      <w:r>
        <w:rPr>
          <w:rFonts w:hint="eastAsia" w:ascii="宋体" w:hAnsi="宋体"/>
          <w:color w:val="FF0000"/>
          <w:szCs w:val="21"/>
          <w:lang w:val="en-US" w:eastAsia="zh-CN"/>
        </w:rPr>
        <w:t>15</w:t>
      </w:r>
      <w:r>
        <w:rPr>
          <w:rFonts w:hint="eastAsia" w:ascii="宋体" w:hAnsi="宋体"/>
          <w:color w:val="FF0000"/>
          <w:szCs w:val="21"/>
        </w:rPr>
        <w:t>：3</w:t>
      </w:r>
      <w:r>
        <w:rPr>
          <w:rFonts w:ascii="宋体" w:hAnsi="宋体"/>
          <w:color w:val="FF0000"/>
          <w:szCs w:val="21"/>
        </w:rPr>
        <w:t>0</w:t>
      </w:r>
      <w:r>
        <w:rPr>
          <w:rFonts w:hint="eastAsia" w:ascii="宋体" w:hAnsi="宋体"/>
          <w:szCs w:val="21"/>
        </w:rPr>
        <w:t>南京市疾病预防控制中心（紫竹林3号）2楼会议室。</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）参与者将响应文件以书面密封形式（加盖骑缝章）送达我中心。(未密封、未加盖骑缝章将不得参与本次采购活动)</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）我中心开标前（不得拆标）。评审小组将根据对供应商资质要求进行审核。</w:t>
      </w:r>
    </w:p>
    <w:p>
      <w:pPr>
        <w:numPr>
          <w:ilvl w:val="0"/>
          <w:numId w:val="1"/>
        </w:numPr>
        <w:spacing w:after="120" w:line="360" w:lineRule="auto"/>
        <w:rPr>
          <w:rFonts w:ascii="宋体" w:hAnsi="宋体"/>
          <w:szCs w:val="21"/>
        </w:rPr>
      </w:pPr>
      <w:r>
        <w:rPr>
          <w:rFonts w:hint="eastAsia" w:ascii="宋体" w:hAnsi="宋体"/>
          <w:szCs w:val="21"/>
          <w:lang w:val="zh-CN"/>
        </w:rPr>
        <w:t>供应商应具备下列资格条件,并提供证明材料(包括但不限于):</w:t>
      </w:r>
    </w:p>
    <w:p>
      <w:pPr>
        <w:pStyle w:val="13"/>
        <w:numPr>
          <w:ilvl w:val="0"/>
          <w:numId w:val="3"/>
        </w:numPr>
        <w:spacing w:line="360" w:lineRule="auto"/>
        <w:ind w:firstLineChars="0"/>
        <w:rPr>
          <w:rFonts w:ascii="宋体" w:hAnsi="宋体"/>
          <w:szCs w:val="21"/>
        </w:rPr>
      </w:pPr>
      <w:r>
        <w:rPr>
          <w:rFonts w:hint="eastAsia" w:ascii="宋体" w:hAnsi="宋体"/>
          <w:szCs w:val="21"/>
        </w:rPr>
        <w:t>满足《中国人民共和国政府采购法》第二十二条规定；</w:t>
      </w:r>
    </w:p>
    <w:p>
      <w:pPr>
        <w:pStyle w:val="13"/>
        <w:numPr>
          <w:ilvl w:val="0"/>
          <w:numId w:val="3"/>
        </w:numPr>
        <w:spacing w:line="360" w:lineRule="auto"/>
        <w:ind w:firstLineChars="0"/>
        <w:rPr>
          <w:rFonts w:ascii="宋体" w:hAnsi="宋体"/>
          <w:szCs w:val="21"/>
        </w:rPr>
      </w:pPr>
      <w:r>
        <w:rPr>
          <w:rFonts w:hint="eastAsia" w:ascii="宋体" w:hAnsi="宋体"/>
          <w:szCs w:val="21"/>
        </w:rPr>
        <w:t>具有独立企业法人资格，经营范围至少包括投标项目。</w:t>
      </w:r>
    </w:p>
    <w:p>
      <w:pPr>
        <w:pStyle w:val="13"/>
        <w:numPr>
          <w:ilvl w:val="0"/>
          <w:numId w:val="3"/>
        </w:numPr>
        <w:spacing w:line="360" w:lineRule="auto"/>
        <w:ind w:firstLineChars="0"/>
        <w:rPr>
          <w:rFonts w:ascii="宋体" w:hAnsi="宋体"/>
          <w:szCs w:val="21"/>
        </w:rPr>
      </w:pPr>
      <w:r>
        <w:rPr>
          <w:rFonts w:hint="eastAsia" w:ascii="宋体" w:hAnsi="宋体"/>
          <w:szCs w:val="21"/>
        </w:rPr>
        <w:t>具有良好的商业信誉和健全的财务会计制度；</w:t>
      </w:r>
    </w:p>
    <w:p>
      <w:pPr>
        <w:pStyle w:val="13"/>
        <w:widowControl/>
        <w:numPr>
          <w:ilvl w:val="0"/>
          <w:numId w:val="3"/>
        </w:numPr>
        <w:tabs>
          <w:tab w:val="left" w:pos="0"/>
        </w:tabs>
        <w:spacing w:line="360" w:lineRule="auto"/>
        <w:ind w:firstLineChars="0"/>
        <w:rPr>
          <w:rFonts w:ascii="宋体" w:hAnsi="宋体"/>
          <w:szCs w:val="21"/>
        </w:rPr>
      </w:pPr>
      <w:r>
        <w:rPr>
          <w:rFonts w:hint="eastAsia" w:ascii="宋体" w:hAnsi="宋体"/>
          <w:szCs w:val="21"/>
        </w:rPr>
        <w:t>具有履行合同所必需的设备和专业技术能力；</w:t>
      </w:r>
    </w:p>
    <w:p>
      <w:pPr>
        <w:pStyle w:val="13"/>
        <w:widowControl/>
        <w:numPr>
          <w:ilvl w:val="0"/>
          <w:numId w:val="3"/>
        </w:numPr>
        <w:tabs>
          <w:tab w:val="left" w:pos="0"/>
        </w:tabs>
        <w:spacing w:line="360" w:lineRule="auto"/>
        <w:ind w:firstLineChars="0"/>
        <w:rPr>
          <w:rFonts w:ascii="宋体" w:hAnsi="宋体"/>
          <w:szCs w:val="21"/>
        </w:rPr>
      </w:pPr>
      <w:r>
        <w:rPr>
          <w:rFonts w:hint="eastAsia" w:ascii="宋体" w:hAnsi="宋体"/>
          <w:szCs w:val="21"/>
        </w:rPr>
        <w:t>有依法缴纳税收和社会保障资金的良好记录；</w:t>
      </w:r>
    </w:p>
    <w:p>
      <w:pPr>
        <w:pStyle w:val="13"/>
        <w:widowControl/>
        <w:numPr>
          <w:ilvl w:val="0"/>
          <w:numId w:val="3"/>
        </w:numPr>
        <w:tabs>
          <w:tab w:val="left" w:pos="0"/>
        </w:tabs>
        <w:spacing w:line="360" w:lineRule="auto"/>
        <w:ind w:firstLineChars="0"/>
        <w:rPr>
          <w:rFonts w:ascii="宋体" w:hAnsi="宋体"/>
          <w:szCs w:val="21"/>
        </w:rPr>
      </w:pPr>
      <w:r>
        <w:rPr>
          <w:rFonts w:hint="eastAsia" w:ascii="宋体" w:hAnsi="宋体"/>
          <w:szCs w:val="21"/>
        </w:rPr>
        <w:t>近三年内（本项目投标截止期前）在经营活动中没有重大违法记录；</w:t>
      </w:r>
    </w:p>
    <w:p>
      <w:pPr>
        <w:pStyle w:val="13"/>
        <w:widowControl/>
        <w:numPr>
          <w:ilvl w:val="0"/>
          <w:numId w:val="3"/>
        </w:numPr>
        <w:tabs>
          <w:tab w:val="left" w:pos="0"/>
        </w:tabs>
        <w:spacing w:line="360" w:lineRule="auto"/>
        <w:ind w:firstLineChars="0"/>
        <w:rPr>
          <w:rFonts w:ascii="宋体" w:hAnsi="宋体"/>
          <w:szCs w:val="21"/>
        </w:rPr>
      </w:pPr>
      <w:r>
        <w:rPr>
          <w:rFonts w:hint="eastAsia" w:ascii="宋体" w:hAnsi="宋体"/>
          <w:szCs w:val="21"/>
        </w:rPr>
        <w:t>其他证明材料：具备一年内或近期案例；具有完善的售后服务体系；具有良好的行业信誉，财务数据运营正常；投标人基本情况简介；项目负责人情况表；其他相关材料。</w:t>
      </w:r>
    </w:p>
    <w:p>
      <w:pPr>
        <w:numPr>
          <w:ilvl w:val="0"/>
          <w:numId w:val="1"/>
        </w:numPr>
        <w:spacing w:after="120" w:line="360" w:lineRule="auto"/>
        <w:rPr>
          <w:rFonts w:ascii="宋体" w:hAnsi="宋体"/>
          <w:szCs w:val="21"/>
        </w:rPr>
      </w:pPr>
      <w:r>
        <w:rPr>
          <w:rFonts w:hint="eastAsia" w:ascii="宋体" w:hAnsi="宋体"/>
          <w:szCs w:val="21"/>
        </w:rPr>
        <w:t>采购项目技术参数见附件</w:t>
      </w:r>
    </w:p>
    <w:p>
      <w:pPr>
        <w:spacing w:line="360" w:lineRule="auto"/>
        <w:ind w:left="525" w:leftChars="250"/>
        <w:jc w:val="left"/>
        <w:rPr>
          <w:rFonts w:ascii="宋体" w:hAnsi="宋体"/>
          <w:szCs w:val="21"/>
        </w:rPr>
      </w:pPr>
    </w:p>
    <w:p>
      <w:pPr>
        <w:pStyle w:val="5"/>
        <w:ind w:left="0" w:leftChars="0" w:right="1470"/>
      </w:pPr>
    </w:p>
    <w:p>
      <w:pPr>
        <w:spacing w:after="120" w:line="360" w:lineRule="auto"/>
        <w:ind w:firstLine="5565" w:firstLineChars="2650"/>
        <w:rPr>
          <w:rFonts w:ascii="宋体" w:hAnsi="宋体"/>
          <w:szCs w:val="21"/>
        </w:rPr>
      </w:pPr>
    </w:p>
    <w:p>
      <w:pPr>
        <w:spacing w:after="120" w:line="360" w:lineRule="auto"/>
        <w:ind w:firstLine="5565" w:firstLineChars="2650"/>
        <w:rPr>
          <w:rFonts w:ascii="宋体" w:hAnsi="宋体"/>
          <w:szCs w:val="21"/>
        </w:rPr>
      </w:pPr>
      <w:r>
        <w:rPr>
          <w:rFonts w:hint="eastAsia" w:ascii="宋体" w:hAnsi="宋体"/>
          <w:szCs w:val="21"/>
        </w:rPr>
        <w:t>南京市疾病预防控制中心</w:t>
      </w:r>
    </w:p>
    <w:p>
      <w:pPr>
        <w:spacing w:after="120" w:line="360" w:lineRule="auto"/>
        <w:jc w:val="right"/>
        <w:rPr>
          <w:rFonts w:ascii="宋体" w:hAnsi="宋体"/>
          <w:szCs w:val="21"/>
        </w:rPr>
      </w:pPr>
      <w:r>
        <w:rPr>
          <w:rFonts w:ascii="宋体" w:hAnsi="宋体"/>
          <w:szCs w:val="21"/>
        </w:rPr>
        <w:t xml:space="preserve"> 20</w:t>
      </w:r>
      <w:r>
        <w:rPr>
          <w:rFonts w:hint="eastAsia" w:ascii="宋体" w:hAnsi="宋体"/>
          <w:szCs w:val="21"/>
        </w:rPr>
        <w:t>21年5月</w:t>
      </w:r>
      <w:r>
        <w:rPr>
          <w:rFonts w:hint="eastAsia" w:ascii="宋体" w:hAnsi="宋体"/>
          <w:szCs w:val="21"/>
          <w:lang w:val="en-US" w:eastAsia="zh-CN"/>
        </w:rPr>
        <w:t>21</w:t>
      </w:r>
      <w:r>
        <w:rPr>
          <w:rFonts w:hint="eastAsia" w:ascii="宋体" w:hAnsi="宋体"/>
          <w:szCs w:val="21"/>
        </w:rPr>
        <w:t>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第二章评审标准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52"/>
        <w:gridCol w:w="1089"/>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bookmarkStart w:id="0" w:name="_Hlk62502873"/>
            <w:r>
              <w:rPr>
                <w:rFonts w:hint="eastAsia" w:ascii="宋体" w:hAnsi="宋体" w:cs="宋体"/>
                <w:color w:val="000000"/>
                <w:kern w:val="0"/>
                <w:szCs w:val="21"/>
              </w:rPr>
              <w:t>序号</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评审因素</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分数</w:t>
            </w:r>
          </w:p>
        </w:tc>
        <w:tc>
          <w:tcPr>
            <w:tcW w:w="5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64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152" w:type="dxa"/>
            <w:vMerge w:val="restart"/>
            <w:tcBorders>
              <w:top w:val="single" w:color="auto" w:sz="4" w:space="0"/>
              <w:left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价格</w:t>
            </w:r>
          </w:p>
        </w:tc>
        <w:tc>
          <w:tcPr>
            <w:tcW w:w="1089" w:type="dxa"/>
            <w:vMerge w:val="restart"/>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35分</w:t>
            </w:r>
          </w:p>
        </w:tc>
        <w:tc>
          <w:tcPr>
            <w:tcW w:w="56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pPr>
            <w:r>
              <w:rPr>
                <w:rFonts w:hint="eastAsia"/>
              </w:rPr>
              <w:t>采用低价优先法计算，即满足磋商文件要求且价格最低的报价为评审基准价，其价格分为满分。其他供应商的价格分统一按照下列公式计算：报价得分=(评审基准价/评审报价)×20（小数点保留两位）。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4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15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089"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5632"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420"/>
              <w:rPr>
                <w:lang w:val="en-US"/>
              </w:rPr>
            </w:pPr>
            <w:r>
              <w:rPr>
                <w:rFonts w:hint="eastAsia" w:ascii="宋体" w:hAnsi="宋体" w:cs="宋体"/>
                <w:szCs w:val="21"/>
              </w:rPr>
              <w:t>对压缩机、电路板、内外电机三个产品单项报价进行评分，每项单项报价的价格分为</w:t>
            </w:r>
            <w:r>
              <w:rPr>
                <w:rFonts w:hint="eastAsia" w:ascii="宋体" w:hAnsi="宋体" w:cs="宋体"/>
                <w:szCs w:val="21"/>
                <w:lang w:val="en-US"/>
              </w:rPr>
              <w:t>5</w:t>
            </w:r>
            <w:r>
              <w:rPr>
                <w:rFonts w:hint="eastAsia" w:ascii="宋体" w:hAnsi="宋体" w:cs="宋体"/>
                <w:szCs w:val="21"/>
              </w:rPr>
              <w:t>分，总分</w:t>
            </w:r>
            <w:r>
              <w:rPr>
                <w:rFonts w:hint="eastAsia" w:ascii="宋体" w:hAnsi="宋体" w:cs="宋体"/>
                <w:szCs w:val="21"/>
                <w:lang w:val="en-US"/>
              </w:rPr>
              <w:t>15</w:t>
            </w:r>
            <w:r>
              <w:rPr>
                <w:rFonts w:hint="eastAsia" w:ascii="宋体" w:hAnsi="宋体" w:cs="宋体"/>
                <w:szCs w:val="21"/>
              </w:rPr>
              <w:t>分。评审以投标人对每项单项报价的价格分评标，单价最低值为A值，A值为价格分的满分，即</w:t>
            </w:r>
            <w:r>
              <w:rPr>
                <w:rFonts w:hint="eastAsia" w:ascii="宋体" w:hAnsi="宋体" w:cs="宋体"/>
                <w:szCs w:val="21"/>
                <w:lang w:val="en-US"/>
              </w:rPr>
              <w:t>5</w:t>
            </w:r>
            <w:r>
              <w:rPr>
                <w:rFonts w:hint="eastAsia" w:ascii="宋体" w:hAnsi="宋体" w:cs="宋体"/>
                <w:szCs w:val="21"/>
              </w:rPr>
              <w:t>分。其他投标人的价格分统一按照以下公式计算：投标人评标价得分=（A／该投标人评标价）×10</w:t>
            </w:r>
            <w:r>
              <w:rPr>
                <w:rFonts w:hint="eastAsia"/>
              </w:rPr>
              <w:t>（小数点保留两位）。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64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15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632"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420"/>
              <w:rPr>
                <w:rFonts w:ascii="宋体" w:hAnsi="宋体" w:cs="宋体"/>
                <w:kern w:val="0"/>
                <w:szCs w:val="21"/>
              </w:rPr>
            </w:pPr>
            <w:r>
              <w:rPr>
                <w:rFonts w:hint="eastAsia" w:ascii="宋体" w:hAnsi="宋体" w:cs="宋体"/>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p>
            <w:pPr>
              <w:widowControl/>
              <w:jc w:val="center"/>
              <w:rPr>
                <w:rFonts w:ascii="宋体" w:hAnsi="宋体" w:cs="宋体"/>
                <w:color w:val="000000"/>
                <w:kern w:val="0"/>
                <w:sz w:val="24"/>
                <w:szCs w:val="24"/>
              </w:rPr>
            </w:pPr>
          </w:p>
        </w:tc>
        <w:tc>
          <w:tcPr>
            <w:tcW w:w="1152" w:type="dxa"/>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技术</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lang w:val="en-US" w:eastAsia="zh-CN"/>
              </w:rPr>
              <w:t>30</w:t>
            </w:r>
            <w:r>
              <w:rPr>
                <w:rFonts w:hint="eastAsia" w:ascii="宋体" w:hAnsi="宋体"/>
                <w:szCs w:val="21"/>
              </w:rPr>
              <w:t>分</w:t>
            </w:r>
          </w:p>
        </w:tc>
        <w:tc>
          <w:tcPr>
            <w:tcW w:w="563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kern w:val="0"/>
                <w:szCs w:val="21"/>
              </w:rPr>
            </w:pPr>
            <w:r>
              <w:rPr>
                <w:rFonts w:hint="eastAsia" w:ascii="宋体" w:hAnsi="宋体"/>
                <w:kern w:val="0"/>
                <w:szCs w:val="21"/>
              </w:rPr>
              <w:t>对投标方提供的服务方案完整性、可行性、专业性进行评审打分，主要评审要点包括：</w:t>
            </w:r>
          </w:p>
          <w:p>
            <w:pPr>
              <w:adjustRightInd w:val="0"/>
              <w:spacing w:line="360" w:lineRule="auto"/>
              <w:textAlignment w:val="baseline"/>
              <w:rPr>
                <w:rFonts w:ascii="宋体" w:hAnsi="宋体"/>
                <w:kern w:val="0"/>
                <w:szCs w:val="21"/>
              </w:rPr>
            </w:pPr>
            <w:r>
              <w:rPr>
                <w:rFonts w:hint="eastAsia" w:ascii="宋体" w:hAnsi="宋体"/>
                <w:kern w:val="0"/>
                <w:szCs w:val="21"/>
              </w:rPr>
              <w:t>（1）提</w:t>
            </w:r>
            <w:r>
              <w:rPr>
                <w:rFonts w:ascii="宋体" w:hAnsi="宋体"/>
                <w:kern w:val="0"/>
                <w:szCs w:val="21"/>
              </w:rPr>
              <w:t>供多方面快速响应</w:t>
            </w:r>
            <w:r>
              <w:rPr>
                <w:rFonts w:hint="eastAsia" w:ascii="宋体" w:hAnsi="宋体"/>
                <w:kern w:val="0"/>
                <w:szCs w:val="21"/>
              </w:rPr>
              <w:t>、响应速度、</w:t>
            </w:r>
            <w:r>
              <w:rPr>
                <w:rFonts w:ascii="宋体" w:hAnsi="宋体"/>
                <w:kern w:val="0"/>
                <w:szCs w:val="21"/>
              </w:rPr>
              <w:t>服务流程</w:t>
            </w:r>
            <w:r>
              <w:rPr>
                <w:rFonts w:hint="eastAsia" w:ascii="宋体" w:hAnsi="宋体"/>
                <w:kern w:val="0"/>
                <w:szCs w:val="21"/>
              </w:rPr>
              <w:t>、</w:t>
            </w:r>
            <w:r>
              <w:rPr>
                <w:rFonts w:ascii="宋体" w:hAnsi="宋体"/>
                <w:kern w:val="0"/>
                <w:szCs w:val="21"/>
              </w:rPr>
              <w:t>服务优势</w:t>
            </w:r>
            <w:r>
              <w:rPr>
                <w:rFonts w:hint="eastAsia" w:ascii="宋体" w:hAnsi="宋体"/>
                <w:kern w:val="0"/>
                <w:szCs w:val="21"/>
              </w:rPr>
              <w:t>等［</w:t>
            </w:r>
            <w:r>
              <w:rPr>
                <w:rFonts w:hint="eastAsia" w:ascii="宋体" w:hAnsi="宋体"/>
                <w:kern w:val="0"/>
                <w:szCs w:val="21"/>
                <w:lang w:val="en-US" w:eastAsia="zh-CN"/>
              </w:rPr>
              <w:t>5</w:t>
            </w:r>
            <w:r>
              <w:rPr>
                <w:rFonts w:hint="eastAsia" w:ascii="宋体" w:hAnsi="宋体"/>
                <w:kern w:val="0"/>
                <w:szCs w:val="21"/>
              </w:rPr>
              <w:t>分］：</w:t>
            </w:r>
          </w:p>
          <w:p>
            <w:pPr>
              <w:adjustRightInd w:val="0"/>
              <w:spacing w:line="360" w:lineRule="auto"/>
              <w:textAlignment w:val="baseline"/>
              <w:rPr>
                <w:rFonts w:ascii="宋体" w:hAnsi="宋体"/>
                <w:kern w:val="0"/>
                <w:szCs w:val="21"/>
                <w:highlight w:val="none"/>
              </w:rPr>
            </w:pPr>
            <w:r>
              <w:rPr>
                <w:rFonts w:hint="eastAsia" w:ascii="宋体" w:hAnsi="宋体"/>
                <w:kern w:val="0"/>
                <w:szCs w:val="21"/>
              </w:rPr>
              <w:t>有</w:t>
            </w:r>
            <w:r>
              <w:rPr>
                <w:rFonts w:ascii="宋体" w:hAnsi="宋体"/>
                <w:kern w:val="0"/>
                <w:szCs w:val="21"/>
              </w:rPr>
              <w:t>多种速</w:t>
            </w:r>
            <w:r>
              <w:rPr>
                <w:rFonts w:hint="eastAsia" w:ascii="宋体" w:hAnsi="宋体"/>
                <w:kern w:val="0"/>
                <w:szCs w:val="21"/>
              </w:rPr>
              <w:t>响</w:t>
            </w:r>
            <w:r>
              <w:rPr>
                <w:rFonts w:ascii="宋体" w:hAnsi="宋体"/>
                <w:kern w:val="0"/>
                <w:szCs w:val="21"/>
              </w:rPr>
              <w:t>应方法</w:t>
            </w:r>
            <w:r>
              <w:rPr>
                <w:rFonts w:hint="eastAsia" w:ascii="宋体" w:hAnsi="宋体"/>
                <w:kern w:val="0"/>
                <w:szCs w:val="21"/>
                <w:highlight w:val="none"/>
              </w:rPr>
              <w:t>，半小时</w:t>
            </w:r>
            <w:r>
              <w:rPr>
                <w:rFonts w:ascii="宋体" w:hAnsi="宋体"/>
                <w:kern w:val="0"/>
                <w:szCs w:val="21"/>
                <w:highlight w:val="none"/>
              </w:rPr>
              <w:t>内响应，并到现场，进行</w:t>
            </w:r>
            <w:r>
              <w:rPr>
                <w:rFonts w:hint="eastAsia" w:ascii="宋体" w:hAnsi="宋体"/>
                <w:kern w:val="0"/>
                <w:szCs w:val="21"/>
                <w:highlight w:val="none"/>
              </w:rPr>
              <w:t>服务</w:t>
            </w:r>
            <w:r>
              <w:rPr>
                <w:rFonts w:ascii="宋体" w:hAnsi="宋体"/>
                <w:kern w:val="0"/>
                <w:szCs w:val="21"/>
                <w:highlight w:val="none"/>
              </w:rPr>
              <w:t>，</w:t>
            </w:r>
            <w:r>
              <w:rPr>
                <w:rFonts w:hint="eastAsia" w:ascii="宋体" w:hAnsi="宋体"/>
                <w:kern w:val="0"/>
                <w:szCs w:val="21"/>
                <w:highlight w:val="none"/>
              </w:rPr>
              <w:t>得</w:t>
            </w:r>
            <w:r>
              <w:rPr>
                <w:rFonts w:hint="eastAsia" w:ascii="宋体" w:hAnsi="宋体"/>
                <w:kern w:val="0"/>
                <w:szCs w:val="21"/>
                <w:highlight w:val="none"/>
                <w:lang w:val="en-US" w:eastAsia="zh-CN"/>
              </w:rPr>
              <w:t>5</w:t>
            </w:r>
            <w:r>
              <w:rPr>
                <w:rFonts w:hint="eastAsia" w:ascii="宋体" w:hAnsi="宋体"/>
                <w:kern w:val="0"/>
                <w:szCs w:val="21"/>
                <w:highlight w:val="none"/>
              </w:rPr>
              <w:t>分；4小</w:t>
            </w:r>
            <w:r>
              <w:rPr>
                <w:rFonts w:ascii="宋体" w:hAnsi="宋体"/>
                <w:kern w:val="0"/>
                <w:szCs w:val="21"/>
                <w:highlight w:val="none"/>
              </w:rPr>
              <w:t>时</w:t>
            </w:r>
            <w:r>
              <w:rPr>
                <w:rFonts w:hint="eastAsia" w:ascii="宋体" w:hAnsi="宋体"/>
                <w:kern w:val="0"/>
                <w:szCs w:val="21"/>
                <w:highlight w:val="none"/>
              </w:rPr>
              <w:t>内</w:t>
            </w:r>
            <w:r>
              <w:rPr>
                <w:rFonts w:ascii="宋体" w:hAnsi="宋体"/>
                <w:kern w:val="0"/>
                <w:szCs w:val="21"/>
                <w:highlight w:val="none"/>
              </w:rPr>
              <w:t>响应，并到现场，进行</w:t>
            </w:r>
            <w:r>
              <w:rPr>
                <w:rFonts w:hint="eastAsia" w:ascii="宋体" w:hAnsi="宋体"/>
                <w:kern w:val="0"/>
                <w:szCs w:val="21"/>
                <w:highlight w:val="none"/>
              </w:rPr>
              <w:t>服务，</w:t>
            </w:r>
            <w:r>
              <w:rPr>
                <w:rFonts w:ascii="宋体" w:hAnsi="宋体"/>
                <w:kern w:val="0"/>
                <w:szCs w:val="21"/>
                <w:highlight w:val="none"/>
              </w:rPr>
              <w:t>得</w:t>
            </w:r>
            <w:r>
              <w:rPr>
                <w:rFonts w:hint="eastAsia" w:ascii="宋体" w:hAnsi="宋体"/>
                <w:kern w:val="0"/>
                <w:szCs w:val="21"/>
                <w:highlight w:val="none"/>
                <w:lang w:val="en-US" w:eastAsia="zh-CN"/>
              </w:rPr>
              <w:t>3</w:t>
            </w:r>
            <w:r>
              <w:rPr>
                <w:rFonts w:hint="eastAsia" w:ascii="宋体" w:hAnsi="宋体"/>
                <w:kern w:val="0"/>
                <w:szCs w:val="21"/>
                <w:highlight w:val="none"/>
              </w:rPr>
              <w:t>分；8小时内</w:t>
            </w:r>
            <w:r>
              <w:rPr>
                <w:rFonts w:ascii="宋体" w:hAnsi="宋体"/>
                <w:kern w:val="0"/>
                <w:szCs w:val="21"/>
                <w:highlight w:val="none"/>
              </w:rPr>
              <w:t>响应，并到现场，进行</w:t>
            </w:r>
            <w:r>
              <w:rPr>
                <w:rFonts w:hint="eastAsia" w:ascii="宋体" w:hAnsi="宋体"/>
                <w:kern w:val="0"/>
                <w:szCs w:val="21"/>
                <w:highlight w:val="none"/>
              </w:rPr>
              <w:t>服务</w:t>
            </w:r>
            <w:r>
              <w:rPr>
                <w:rFonts w:ascii="宋体" w:hAnsi="宋体"/>
                <w:kern w:val="0"/>
                <w:szCs w:val="21"/>
                <w:highlight w:val="none"/>
              </w:rPr>
              <w:t>，得</w:t>
            </w:r>
            <w:r>
              <w:rPr>
                <w:rFonts w:hint="eastAsia" w:ascii="宋体" w:hAnsi="宋体"/>
                <w:kern w:val="0"/>
                <w:szCs w:val="21"/>
                <w:highlight w:val="none"/>
                <w:lang w:val="en-US" w:eastAsia="zh-CN"/>
              </w:rPr>
              <w:t>2</w:t>
            </w:r>
            <w:r>
              <w:rPr>
                <w:rFonts w:hint="eastAsia" w:ascii="宋体" w:hAnsi="宋体"/>
                <w:kern w:val="0"/>
                <w:szCs w:val="21"/>
                <w:highlight w:val="none"/>
              </w:rPr>
              <w:t>分， 12小</w:t>
            </w:r>
            <w:r>
              <w:rPr>
                <w:rFonts w:ascii="宋体" w:hAnsi="宋体"/>
                <w:kern w:val="0"/>
                <w:szCs w:val="21"/>
                <w:highlight w:val="none"/>
              </w:rPr>
              <w:t>时</w:t>
            </w:r>
            <w:r>
              <w:rPr>
                <w:rFonts w:hint="eastAsia" w:ascii="宋体" w:hAnsi="宋体"/>
                <w:kern w:val="0"/>
                <w:szCs w:val="21"/>
                <w:highlight w:val="none"/>
              </w:rPr>
              <w:t>内</w:t>
            </w:r>
            <w:r>
              <w:rPr>
                <w:rFonts w:ascii="宋体" w:hAnsi="宋体"/>
                <w:kern w:val="0"/>
                <w:szCs w:val="21"/>
                <w:highlight w:val="none"/>
              </w:rPr>
              <w:t>响应，进行</w:t>
            </w:r>
            <w:r>
              <w:rPr>
                <w:rFonts w:hint="eastAsia" w:ascii="宋体" w:hAnsi="宋体"/>
                <w:kern w:val="0"/>
                <w:szCs w:val="21"/>
                <w:highlight w:val="none"/>
              </w:rPr>
              <w:t>服务</w:t>
            </w:r>
            <w:r>
              <w:rPr>
                <w:rFonts w:ascii="宋体" w:hAnsi="宋体"/>
                <w:kern w:val="0"/>
                <w:szCs w:val="21"/>
                <w:highlight w:val="none"/>
              </w:rPr>
              <w:t>，得</w:t>
            </w:r>
            <w:r>
              <w:rPr>
                <w:rFonts w:hint="eastAsia" w:ascii="宋体" w:hAnsi="宋体"/>
                <w:kern w:val="0"/>
                <w:szCs w:val="21"/>
                <w:highlight w:val="none"/>
              </w:rPr>
              <w:t>1分。</w:t>
            </w:r>
          </w:p>
          <w:p>
            <w:pPr>
              <w:adjustRightInd w:val="0"/>
              <w:spacing w:line="360" w:lineRule="auto"/>
              <w:ind w:left="13" w:hanging="12" w:hangingChars="6"/>
              <w:textAlignment w:val="baseline"/>
              <w:rPr>
                <w:rFonts w:ascii="宋体" w:hAnsi="宋体"/>
                <w:kern w:val="0"/>
                <w:szCs w:val="21"/>
              </w:rPr>
            </w:pPr>
            <w:r>
              <w:rPr>
                <w:rFonts w:hint="eastAsia" w:ascii="宋体" w:hAnsi="宋体"/>
                <w:kern w:val="0"/>
                <w:szCs w:val="21"/>
              </w:rPr>
              <w:t>（2）故障应急预案（</w:t>
            </w:r>
            <w:r>
              <w:rPr>
                <w:rFonts w:hint="eastAsia" w:ascii="宋体" w:hAnsi="宋体"/>
                <w:kern w:val="0"/>
                <w:szCs w:val="21"/>
                <w:lang w:val="en-US" w:eastAsia="zh-CN"/>
              </w:rPr>
              <w:t>5</w:t>
            </w:r>
            <w:r>
              <w:rPr>
                <w:rFonts w:hint="eastAsia" w:ascii="宋体" w:hAnsi="宋体"/>
                <w:kern w:val="0"/>
                <w:szCs w:val="21"/>
              </w:rPr>
              <w:t>分）：</w:t>
            </w:r>
          </w:p>
          <w:p>
            <w:pPr>
              <w:adjustRightInd w:val="0"/>
              <w:spacing w:line="360" w:lineRule="auto"/>
              <w:ind w:left="13" w:hanging="12" w:hangingChars="6"/>
              <w:textAlignment w:val="baseline"/>
              <w:rPr>
                <w:rFonts w:ascii="宋体" w:hAnsi="宋体"/>
                <w:kern w:val="0"/>
                <w:szCs w:val="21"/>
              </w:rPr>
            </w:pPr>
            <w:r>
              <w:rPr>
                <w:rFonts w:hint="eastAsia" w:ascii="宋体" w:hAnsi="宋体"/>
                <w:kern w:val="0"/>
                <w:szCs w:val="21"/>
              </w:rPr>
              <w:t>预案</w:t>
            </w:r>
            <w:r>
              <w:rPr>
                <w:rFonts w:ascii="宋体" w:hAnsi="宋体"/>
                <w:kern w:val="0"/>
                <w:szCs w:val="21"/>
              </w:rPr>
              <w:t>完整</w:t>
            </w:r>
            <w:r>
              <w:rPr>
                <w:rFonts w:hint="eastAsia" w:ascii="宋体" w:hAnsi="宋体"/>
                <w:kern w:val="0"/>
                <w:szCs w:val="21"/>
              </w:rPr>
              <w:t>，</w:t>
            </w:r>
            <w:r>
              <w:rPr>
                <w:rFonts w:ascii="宋体" w:hAnsi="宋体"/>
                <w:kern w:val="0"/>
                <w:szCs w:val="21"/>
              </w:rPr>
              <w:t>贴近客户实际情况，得</w:t>
            </w:r>
            <w:r>
              <w:rPr>
                <w:rFonts w:hint="eastAsia" w:ascii="宋体" w:hAnsi="宋体"/>
                <w:kern w:val="0"/>
                <w:szCs w:val="21"/>
                <w:lang w:val="en-US" w:eastAsia="zh-CN"/>
              </w:rPr>
              <w:t>5</w:t>
            </w:r>
            <w:r>
              <w:rPr>
                <w:rFonts w:hint="eastAsia" w:ascii="宋体" w:hAnsi="宋体"/>
                <w:kern w:val="0"/>
                <w:szCs w:val="21"/>
              </w:rPr>
              <w:t>分；</w:t>
            </w:r>
            <w:r>
              <w:rPr>
                <w:rFonts w:ascii="宋体" w:hAnsi="宋体"/>
                <w:kern w:val="0"/>
                <w:szCs w:val="21"/>
              </w:rPr>
              <w:t>预案</w:t>
            </w:r>
            <w:r>
              <w:rPr>
                <w:rFonts w:hint="eastAsia" w:ascii="宋体" w:hAnsi="宋体"/>
                <w:kern w:val="0"/>
                <w:szCs w:val="21"/>
              </w:rPr>
              <w:t>基</w:t>
            </w:r>
            <w:r>
              <w:rPr>
                <w:rFonts w:ascii="宋体" w:hAnsi="宋体"/>
                <w:kern w:val="0"/>
                <w:szCs w:val="21"/>
              </w:rPr>
              <w:t>本完整</w:t>
            </w:r>
            <w:r>
              <w:rPr>
                <w:rFonts w:hint="eastAsia" w:ascii="宋体" w:hAnsi="宋体"/>
                <w:kern w:val="0"/>
                <w:szCs w:val="21"/>
              </w:rPr>
              <w:t>，套</w:t>
            </w:r>
            <w:r>
              <w:rPr>
                <w:rFonts w:ascii="宋体" w:hAnsi="宋体"/>
                <w:kern w:val="0"/>
                <w:szCs w:val="21"/>
              </w:rPr>
              <w:t>用</w:t>
            </w:r>
            <w:r>
              <w:rPr>
                <w:rFonts w:hint="eastAsia" w:ascii="宋体" w:hAnsi="宋体"/>
                <w:kern w:val="0"/>
                <w:szCs w:val="21"/>
              </w:rPr>
              <w:t>一般</w:t>
            </w:r>
            <w:r>
              <w:rPr>
                <w:rFonts w:ascii="宋体" w:hAnsi="宋体"/>
                <w:kern w:val="0"/>
                <w:szCs w:val="21"/>
              </w:rPr>
              <w:t>情况</w:t>
            </w:r>
            <w:r>
              <w:rPr>
                <w:rFonts w:hint="eastAsia" w:ascii="宋体" w:hAnsi="宋体"/>
                <w:kern w:val="0"/>
                <w:szCs w:val="21"/>
              </w:rPr>
              <w:t>，</w:t>
            </w:r>
            <w:r>
              <w:rPr>
                <w:rFonts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r>
              <w:rPr>
                <w:rFonts w:ascii="宋体" w:hAnsi="宋体"/>
                <w:kern w:val="0"/>
                <w:szCs w:val="21"/>
              </w:rPr>
              <w:t>预案</w:t>
            </w:r>
            <w:r>
              <w:rPr>
                <w:rFonts w:hint="eastAsia" w:ascii="宋体" w:hAnsi="宋体"/>
                <w:kern w:val="0"/>
                <w:szCs w:val="21"/>
              </w:rPr>
              <w:t>较差，套</w:t>
            </w:r>
            <w:r>
              <w:rPr>
                <w:rFonts w:ascii="宋体" w:hAnsi="宋体"/>
                <w:kern w:val="0"/>
                <w:szCs w:val="21"/>
              </w:rPr>
              <w:t>用</w:t>
            </w:r>
            <w:r>
              <w:rPr>
                <w:rFonts w:hint="eastAsia" w:ascii="宋体" w:hAnsi="宋体"/>
                <w:kern w:val="0"/>
                <w:szCs w:val="21"/>
              </w:rPr>
              <w:t>一般</w:t>
            </w:r>
            <w:r>
              <w:rPr>
                <w:rFonts w:ascii="宋体" w:hAnsi="宋体"/>
                <w:kern w:val="0"/>
                <w:szCs w:val="21"/>
              </w:rPr>
              <w:t>情况</w:t>
            </w:r>
            <w:r>
              <w:rPr>
                <w:rFonts w:hint="eastAsia" w:ascii="宋体" w:hAnsi="宋体"/>
                <w:kern w:val="0"/>
                <w:szCs w:val="21"/>
              </w:rPr>
              <w:t>，</w:t>
            </w:r>
            <w:r>
              <w:rPr>
                <w:rFonts w:ascii="宋体" w:hAnsi="宋体"/>
                <w:kern w:val="0"/>
                <w:szCs w:val="21"/>
              </w:rPr>
              <w:t>得</w:t>
            </w:r>
            <w:r>
              <w:rPr>
                <w:rFonts w:hint="eastAsia" w:ascii="宋体" w:hAnsi="宋体"/>
                <w:kern w:val="0"/>
                <w:szCs w:val="21"/>
                <w:lang w:val="en-US" w:eastAsia="zh-CN"/>
              </w:rPr>
              <w:t>1</w:t>
            </w:r>
            <w:r>
              <w:rPr>
                <w:rFonts w:hint="eastAsia" w:ascii="宋体" w:hAnsi="宋体"/>
                <w:kern w:val="0"/>
                <w:szCs w:val="21"/>
              </w:rPr>
              <w:t>分</w:t>
            </w:r>
            <w:r>
              <w:rPr>
                <w:rFonts w:ascii="宋体" w:hAnsi="宋体"/>
                <w:kern w:val="0"/>
                <w:szCs w:val="21"/>
              </w:rPr>
              <w:t>。</w:t>
            </w:r>
          </w:p>
          <w:p>
            <w:pPr>
              <w:numPr>
                <w:ilvl w:val="0"/>
                <w:numId w:val="4"/>
              </w:numPr>
              <w:adjustRightInd w:val="0"/>
              <w:spacing w:line="360" w:lineRule="auto"/>
              <w:ind w:left="13" w:hanging="12" w:hangingChars="6"/>
              <w:textAlignment w:val="baseline"/>
              <w:rPr>
                <w:rFonts w:ascii="宋体" w:hAnsi="宋体"/>
                <w:kern w:val="0"/>
                <w:szCs w:val="21"/>
              </w:rPr>
            </w:pPr>
            <w:r>
              <w:rPr>
                <w:rFonts w:hint="eastAsia" w:ascii="宋体" w:hAnsi="宋体"/>
                <w:kern w:val="0"/>
                <w:szCs w:val="21"/>
              </w:rPr>
              <w:t>维修方案（</w:t>
            </w:r>
            <w:r>
              <w:rPr>
                <w:rFonts w:hint="eastAsia" w:ascii="宋体" w:hAnsi="宋体"/>
                <w:kern w:val="0"/>
                <w:szCs w:val="21"/>
                <w:lang w:val="en-US" w:eastAsia="zh-CN"/>
              </w:rPr>
              <w:t>9</w:t>
            </w:r>
            <w:r>
              <w:rPr>
                <w:rFonts w:hint="eastAsia" w:ascii="宋体" w:hAnsi="宋体"/>
                <w:kern w:val="0"/>
                <w:szCs w:val="21"/>
              </w:rPr>
              <w:t>分）：</w:t>
            </w:r>
          </w:p>
          <w:p>
            <w:pPr>
              <w:adjustRightInd w:val="0"/>
              <w:spacing w:line="360" w:lineRule="auto"/>
              <w:ind w:left="-13" w:leftChars="-6"/>
              <w:textAlignment w:val="baseline"/>
              <w:rPr>
                <w:kern w:val="0"/>
                <w:szCs w:val="21"/>
              </w:rPr>
            </w:pPr>
            <w:r>
              <w:rPr>
                <w:rFonts w:hint="eastAsia"/>
                <w:kern w:val="0"/>
                <w:szCs w:val="21"/>
              </w:rPr>
              <w:t>维修</w:t>
            </w:r>
            <w:r>
              <w:rPr>
                <w:kern w:val="0"/>
                <w:szCs w:val="21"/>
              </w:rPr>
              <w:t>方案完整、论述清晰且保障性、可实施性强</w:t>
            </w:r>
            <w:r>
              <w:rPr>
                <w:rFonts w:hint="eastAsia"/>
                <w:kern w:val="0"/>
                <w:szCs w:val="21"/>
              </w:rPr>
              <w:t>，得</w:t>
            </w:r>
            <w:r>
              <w:rPr>
                <w:rFonts w:hint="eastAsia"/>
                <w:kern w:val="0"/>
                <w:szCs w:val="21"/>
                <w:lang w:val="en-US" w:eastAsia="zh-CN"/>
              </w:rPr>
              <w:t>9</w:t>
            </w:r>
            <w:r>
              <w:rPr>
                <w:rFonts w:hint="eastAsia"/>
                <w:kern w:val="0"/>
                <w:szCs w:val="21"/>
              </w:rPr>
              <w:t>分</w:t>
            </w:r>
            <w:r>
              <w:rPr>
                <w:kern w:val="0"/>
                <w:szCs w:val="21"/>
              </w:rPr>
              <w:t>，</w:t>
            </w:r>
            <w:r>
              <w:rPr>
                <w:rFonts w:hint="eastAsia"/>
                <w:kern w:val="0"/>
                <w:szCs w:val="21"/>
              </w:rPr>
              <w:t>维修</w:t>
            </w:r>
            <w:r>
              <w:rPr>
                <w:kern w:val="0"/>
                <w:szCs w:val="21"/>
              </w:rPr>
              <w:t>方案完整性、保障性及可实施性一般</w:t>
            </w:r>
            <w:r>
              <w:rPr>
                <w:rFonts w:hint="eastAsia"/>
                <w:kern w:val="0"/>
                <w:szCs w:val="21"/>
              </w:rPr>
              <w:t>得6分</w:t>
            </w:r>
            <w:r>
              <w:rPr>
                <w:kern w:val="0"/>
                <w:szCs w:val="21"/>
              </w:rPr>
              <w:t>，</w:t>
            </w:r>
            <w:r>
              <w:rPr>
                <w:rFonts w:hint="eastAsia"/>
                <w:kern w:val="0"/>
                <w:szCs w:val="21"/>
              </w:rPr>
              <w:t>维修</w:t>
            </w:r>
            <w:r>
              <w:rPr>
                <w:kern w:val="0"/>
                <w:szCs w:val="21"/>
              </w:rPr>
              <w:t>方案方案完整性、保障性及可实施性较差</w:t>
            </w:r>
            <w:r>
              <w:rPr>
                <w:rFonts w:hint="eastAsia"/>
                <w:kern w:val="0"/>
                <w:szCs w:val="21"/>
              </w:rPr>
              <w:t>得2分。</w:t>
            </w:r>
            <w:r>
              <w:rPr>
                <w:kern w:val="0"/>
                <w:szCs w:val="21"/>
              </w:rPr>
              <w:t>未提供</w:t>
            </w:r>
            <w:r>
              <w:rPr>
                <w:rFonts w:hint="eastAsia"/>
                <w:kern w:val="0"/>
                <w:szCs w:val="21"/>
              </w:rPr>
              <w:t>维修</w:t>
            </w:r>
            <w:r>
              <w:rPr>
                <w:kern w:val="0"/>
                <w:szCs w:val="21"/>
              </w:rPr>
              <w:t>方案方案的不得分。</w:t>
            </w:r>
          </w:p>
          <w:p>
            <w:pPr>
              <w:pStyle w:val="2"/>
              <w:ind w:left="0" w:leftChars="0" w:firstLine="0" w:firstLineChars="0"/>
              <w:rPr>
                <w:rFonts w:hint="eastAsia" w:eastAsia="宋体"/>
                <w:lang w:val="en-US" w:eastAsia="zh-CN"/>
              </w:rPr>
            </w:pPr>
            <w:r>
              <w:rPr>
                <w:rFonts w:hint="eastAsia"/>
                <w:lang w:val="en-US" w:eastAsia="zh-CN"/>
              </w:rPr>
              <w:t>（4）</w:t>
            </w:r>
            <w:r>
              <w:rPr>
                <w:rFonts w:hint="eastAsia"/>
                <w:kern w:val="0"/>
                <w:szCs w:val="21"/>
              </w:rPr>
              <w:t>保养</w:t>
            </w:r>
            <w:r>
              <w:rPr>
                <w:kern w:val="0"/>
                <w:szCs w:val="21"/>
              </w:rPr>
              <w:t>方案</w:t>
            </w:r>
            <w:r>
              <w:rPr>
                <w:rFonts w:hint="eastAsia"/>
                <w:kern w:val="0"/>
                <w:szCs w:val="21"/>
                <w:lang w:eastAsia="zh-CN"/>
              </w:rPr>
              <w:t>（</w:t>
            </w:r>
            <w:r>
              <w:rPr>
                <w:rFonts w:hint="eastAsia"/>
                <w:kern w:val="0"/>
                <w:szCs w:val="21"/>
                <w:lang w:val="en-US" w:eastAsia="zh-CN"/>
              </w:rPr>
              <w:t>9分</w:t>
            </w:r>
            <w:r>
              <w:rPr>
                <w:rFonts w:hint="eastAsia"/>
                <w:kern w:val="0"/>
                <w:szCs w:val="21"/>
                <w:lang w:eastAsia="zh-CN"/>
              </w:rPr>
              <w:t>）</w:t>
            </w:r>
          </w:p>
          <w:p>
            <w:pPr>
              <w:adjustRightInd w:val="0"/>
              <w:spacing w:line="360" w:lineRule="auto"/>
              <w:ind w:left="-13" w:leftChars="-6"/>
              <w:textAlignment w:val="baseline"/>
              <w:rPr>
                <w:kern w:val="0"/>
                <w:szCs w:val="21"/>
              </w:rPr>
            </w:pPr>
            <w:r>
              <w:rPr>
                <w:rFonts w:hint="eastAsia"/>
                <w:kern w:val="0"/>
                <w:szCs w:val="21"/>
              </w:rPr>
              <w:t>保养</w:t>
            </w:r>
            <w:r>
              <w:rPr>
                <w:kern w:val="0"/>
                <w:szCs w:val="21"/>
              </w:rPr>
              <w:t>方案完整、论述清晰且保障性、可实施性强</w:t>
            </w:r>
            <w:r>
              <w:rPr>
                <w:rFonts w:hint="eastAsia"/>
                <w:kern w:val="0"/>
                <w:szCs w:val="21"/>
              </w:rPr>
              <w:t>，得10分</w:t>
            </w:r>
            <w:r>
              <w:rPr>
                <w:kern w:val="0"/>
                <w:szCs w:val="21"/>
              </w:rPr>
              <w:t>，方案完整性、保障性及可实施性一般</w:t>
            </w:r>
            <w:r>
              <w:rPr>
                <w:rFonts w:hint="eastAsia"/>
                <w:kern w:val="0"/>
                <w:szCs w:val="21"/>
              </w:rPr>
              <w:t>得6分</w:t>
            </w:r>
            <w:r>
              <w:rPr>
                <w:kern w:val="0"/>
                <w:szCs w:val="21"/>
              </w:rPr>
              <w:t>，方案方案完整性、保障性及可实施性较差</w:t>
            </w:r>
            <w:r>
              <w:rPr>
                <w:rFonts w:hint="eastAsia"/>
                <w:kern w:val="0"/>
                <w:szCs w:val="21"/>
              </w:rPr>
              <w:t>得2分。</w:t>
            </w:r>
            <w:r>
              <w:rPr>
                <w:kern w:val="0"/>
                <w:szCs w:val="21"/>
              </w:rPr>
              <w:t>未提供</w:t>
            </w:r>
            <w:r>
              <w:rPr>
                <w:rFonts w:hint="eastAsia"/>
                <w:kern w:val="0"/>
                <w:szCs w:val="21"/>
                <w:lang w:eastAsia="zh-CN"/>
              </w:rPr>
              <w:t>保养</w:t>
            </w:r>
            <w:r>
              <w:rPr>
                <w:kern w:val="0"/>
                <w:szCs w:val="21"/>
              </w:rPr>
              <w:t>方案的不得分。</w:t>
            </w:r>
          </w:p>
          <w:p>
            <w:pPr>
              <w:adjustRightInd w:val="0"/>
              <w:spacing w:line="360" w:lineRule="auto"/>
              <w:ind w:left="13" w:hanging="12" w:hangingChars="6"/>
              <w:textAlignment w:val="baseline"/>
              <w:rPr>
                <w:rFonts w:ascii="宋体" w:hAnsi="宋体"/>
                <w:kern w:val="0"/>
                <w:szCs w:val="21"/>
              </w:rPr>
            </w:pPr>
            <w:r>
              <w:rPr>
                <w:rFonts w:hint="eastAsia" w:ascii="宋体" w:hAnsi="宋体"/>
                <w:kern w:val="0"/>
                <w:szCs w:val="21"/>
              </w:rPr>
              <w:t>（</w:t>
            </w:r>
            <w:r>
              <w:rPr>
                <w:rFonts w:hint="eastAsia" w:ascii="宋体" w:hAnsi="宋体"/>
                <w:kern w:val="0"/>
                <w:szCs w:val="21"/>
                <w:lang w:val="en-US" w:eastAsia="zh-CN"/>
              </w:rPr>
              <w:t>5</w:t>
            </w:r>
            <w:r>
              <w:rPr>
                <w:rFonts w:hint="eastAsia" w:ascii="宋体" w:hAnsi="宋体"/>
                <w:kern w:val="0"/>
                <w:szCs w:val="21"/>
              </w:rPr>
              <w:t>）有</w:t>
            </w:r>
            <w:r>
              <w:rPr>
                <w:rFonts w:ascii="宋体" w:hAnsi="宋体"/>
                <w:kern w:val="0"/>
                <w:szCs w:val="21"/>
              </w:rPr>
              <w:t>优惠条件</w:t>
            </w:r>
            <w:r>
              <w:rPr>
                <w:rFonts w:hint="eastAsia" w:ascii="宋体" w:hAnsi="宋体"/>
                <w:kern w:val="0"/>
                <w:szCs w:val="21"/>
              </w:rPr>
              <w:t>及</w:t>
            </w:r>
            <w:r>
              <w:rPr>
                <w:rFonts w:ascii="宋体" w:hAnsi="宋体"/>
                <w:kern w:val="0"/>
                <w:szCs w:val="21"/>
              </w:rPr>
              <w:t>延伸服务，</w:t>
            </w:r>
            <w:r>
              <w:rPr>
                <w:rFonts w:hint="eastAsia" w:ascii="宋体" w:hAnsi="宋体"/>
                <w:kern w:val="0"/>
                <w:szCs w:val="21"/>
              </w:rPr>
              <w:t>得2分；无不得分</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15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szCs w:val="21"/>
              </w:rPr>
              <w:t>履约能力</w:t>
            </w:r>
          </w:p>
        </w:tc>
        <w:tc>
          <w:tcPr>
            <w:tcW w:w="1089" w:type="dxa"/>
            <w:vMerge w:val="restart"/>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lang w:val="en-US" w:eastAsia="zh-CN"/>
              </w:rPr>
              <w:t>35</w:t>
            </w:r>
            <w:r>
              <w:rPr>
                <w:rFonts w:hint="eastAsia" w:ascii="宋体" w:hAnsi="宋体"/>
                <w:szCs w:val="21"/>
              </w:rPr>
              <w:t>分</w:t>
            </w:r>
          </w:p>
          <w:p>
            <w:pPr>
              <w:widowControl/>
              <w:jc w:val="center"/>
              <w:rPr>
                <w:rFonts w:ascii="宋体" w:hAnsi="宋体" w:cs="宋体"/>
                <w:color w:val="000000"/>
                <w:kern w:val="0"/>
                <w:sz w:val="24"/>
                <w:szCs w:val="24"/>
              </w:rPr>
            </w:pPr>
          </w:p>
        </w:tc>
        <w:tc>
          <w:tcPr>
            <w:tcW w:w="563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kern w:val="0"/>
                <w:szCs w:val="21"/>
              </w:rPr>
            </w:pPr>
            <w:r>
              <w:rPr>
                <w:rFonts w:hint="eastAsia" w:ascii="宋体" w:hAnsi="宋体"/>
                <w:kern w:val="0"/>
                <w:szCs w:val="21"/>
              </w:rPr>
              <w:t>对投标方提供的服务团队情况进行打分：</w:t>
            </w:r>
          </w:p>
          <w:p>
            <w:pPr>
              <w:adjustRightInd w:val="0"/>
              <w:spacing w:line="360" w:lineRule="auto"/>
              <w:ind w:left="355" w:hanging="354" w:hangingChars="169"/>
              <w:jc w:val="left"/>
              <w:textAlignment w:val="baseline"/>
              <w:rPr>
                <w:rFonts w:ascii="宋体" w:hAnsi="宋体"/>
                <w:kern w:val="0"/>
                <w:szCs w:val="21"/>
              </w:rPr>
            </w:pPr>
            <w:r>
              <w:rPr>
                <w:rFonts w:hint="eastAsia" w:ascii="宋体" w:hAnsi="宋体"/>
                <w:kern w:val="0"/>
                <w:szCs w:val="21"/>
              </w:rPr>
              <w:t>（</w:t>
            </w:r>
            <w:r>
              <w:rPr>
                <w:rFonts w:hint="eastAsia" w:ascii="宋体" w:hAnsi="宋体"/>
                <w:kern w:val="0"/>
                <w:szCs w:val="21"/>
                <w:lang w:val="en-US" w:eastAsia="zh-CN"/>
              </w:rPr>
              <w:t>1</w:t>
            </w:r>
            <w:r>
              <w:rPr>
                <w:rFonts w:hint="eastAsia" w:ascii="宋体" w:hAnsi="宋体"/>
                <w:kern w:val="0"/>
                <w:szCs w:val="21"/>
              </w:rPr>
              <w:t>）</w:t>
            </w:r>
            <w:r>
              <w:rPr>
                <w:rFonts w:ascii="宋体" w:hAnsi="宋体"/>
                <w:kern w:val="0"/>
                <w:szCs w:val="21"/>
              </w:rPr>
              <w:t>项目负责人的质</w:t>
            </w:r>
            <w:r>
              <w:rPr>
                <w:rFonts w:hint="eastAsia" w:ascii="宋体" w:hAnsi="宋体"/>
                <w:kern w:val="0"/>
                <w:szCs w:val="21"/>
              </w:rPr>
              <w:t>［8分］：</w:t>
            </w:r>
          </w:p>
          <w:p>
            <w:pPr>
              <w:adjustRightInd w:val="0"/>
              <w:spacing w:line="360" w:lineRule="auto"/>
              <w:jc w:val="left"/>
              <w:textAlignment w:val="baseline"/>
              <w:rPr>
                <w:rFonts w:ascii="宋体" w:hAnsi="宋体"/>
                <w:kern w:val="0"/>
                <w:szCs w:val="21"/>
              </w:rPr>
            </w:pPr>
            <w:r>
              <w:rPr>
                <w:rFonts w:hint="eastAsia" w:ascii="宋体" w:hAnsi="宋体"/>
                <w:kern w:val="0"/>
                <w:szCs w:val="21"/>
              </w:rPr>
              <w:t>具有省级应急管理厅颁发的“特种作业操作证”得8分（</w:t>
            </w:r>
            <w:r>
              <w:rPr>
                <w:rFonts w:ascii="宋体" w:hAnsi="宋体"/>
                <w:kern w:val="0"/>
                <w:szCs w:val="21"/>
              </w:rPr>
              <w:t>提供</w:t>
            </w:r>
            <w:r>
              <w:rPr>
                <w:rFonts w:hint="eastAsia" w:ascii="宋体" w:hAnsi="宋体"/>
                <w:kern w:val="0"/>
                <w:szCs w:val="21"/>
              </w:rPr>
              <w:t>相关</w:t>
            </w:r>
            <w:r>
              <w:rPr>
                <w:rFonts w:ascii="宋体" w:hAnsi="宋体"/>
                <w:kern w:val="0"/>
                <w:szCs w:val="21"/>
              </w:rPr>
              <w:t>证明</w:t>
            </w:r>
            <w:r>
              <w:rPr>
                <w:rFonts w:hint="eastAsia" w:ascii="宋体" w:hAnsi="宋体"/>
                <w:kern w:val="0"/>
                <w:szCs w:val="21"/>
              </w:rPr>
              <w:t>材料复印件，原件备查）；无</w:t>
            </w:r>
            <w:r>
              <w:rPr>
                <w:rFonts w:ascii="宋体" w:hAnsi="宋体"/>
                <w:kern w:val="0"/>
                <w:szCs w:val="21"/>
              </w:rPr>
              <w:t>不</w:t>
            </w:r>
            <w:r>
              <w:rPr>
                <w:rFonts w:hint="eastAsia" w:ascii="宋体" w:hAnsi="宋体"/>
                <w:kern w:val="0"/>
                <w:szCs w:val="21"/>
              </w:rPr>
              <w:t>得</w:t>
            </w:r>
            <w:r>
              <w:rPr>
                <w:rFonts w:ascii="宋体" w:hAnsi="宋体"/>
                <w:kern w:val="0"/>
                <w:szCs w:val="21"/>
              </w:rPr>
              <w:t>分。</w:t>
            </w:r>
          </w:p>
          <w:p>
            <w:pPr>
              <w:adjustRightInd w:val="0"/>
              <w:spacing w:line="360" w:lineRule="auto"/>
              <w:jc w:val="left"/>
              <w:textAlignment w:val="baseline"/>
              <w:rPr>
                <w:rFonts w:ascii="宋体" w:hAnsi="宋体"/>
                <w:kern w:val="0"/>
                <w:szCs w:val="21"/>
              </w:rPr>
            </w:pPr>
            <w:r>
              <w:rPr>
                <w:rFonts w:hint="eastAsia" w:ascii="宋体" w:hAnsi="宋体"/>
                <w:kern w:val="0"/>
                <w:szCs w:val="21"/>
              </w:rPr>
              <w:t>（</w:t>
            </w:r>
            <w:r>
              <w:rPr>
                <w:rFonts w:hint="eastAsia" w:ascii="宋体" w:hAnsi="宋体"/>
                <w:kern w:val="0"/>
                <w:szCs w:val="21"/>
                <w:lang w:val="en-US" w:eastAsia="zh-CN"/>
              </w:rPr>
              <w:t>2</w:t>
            </w:r>
            <w:r>
              <w:rPr>
                <w:rFonts w:hint="eastAsia" w:ascii="宋体" w:hAnsi="宋体"/>
                <w:kern w:val="0"/>
                <w:szCs w:val="21"/>
              </w:rPr>
              <w:t>）</w:t>
            </w:r>
            <w:r>
              <w:rPr>
                <w:rFonts w:ascii="宋体" w:hAnsi="宋体"/>
                <w:kern w:val="0"/>
                <w:szCs w:val="21"/>
              </w:rPr>
              <w:t>本项目服务人员总体配置情况</w:t>
            </w:r>
            <w:r>
              <w:rPr>
                <w:rFonts w:hint="eastAsia" w:ascii="宋体" w:hAnsi="宋体"/>
                <w:kern w:val="0"/>
                <w:szCs w:val="21"/>
              </w:rPr>
              <w:t>［12分］：</w:t>
            </w:r>
          </w:p>
          <w:p>
            <w:pPr>
              <w:adjustRightInd w:val="0"/>
              <w:spacing w:line="360" w:lineRule="auto"/>
              <w:jc w:val="left"/>
              <w:textAlignment w:val="baseline"/>
              <w:rPr>
                <w:rFonts w:ascii="宋体" w:hAnsi="宋体"/>
                <w:kern w:val="0"/>
                <w:szCs w:val="21"/>
              </w:rPr>
            </w:pPr>
            <w:r>
              <w:rPr>
                <w:rFonts w:hint="eastAsia" w:ascii="宋体" w:hAnsi="宋体"/>
                <w:kern w:val="0"/>
                <w:szCs w:val="21"/>
              </w:rPr>
              <w:t>配</w:t>
            </w:r>
            <w:r>
              <w:rPr>
                <w:rFonts w:ascii="宋体" w:hAnsi="宋体"/>
                <w:kern w:val="0"/>
                <w:szCs w:val="21"/>
              </w:rPr>
              <w:t>备</w:t>
            </w:r>
            <w:r>
              <w:rPr>
                <w:rFonts w:hint="eastAsia" w:ascii="宋体" w:hAnsi="宋体"/>
                <w:kern w:val="0"/>
                <w:szCs w:val="21"/>
              </w:rPr>
              <w:t>3人</w:t>
            </w:r>
            <w:r>
              <w:rPr>
                <w:rFonts w:ascii="宋体" w:hAnsi="宋体"/>
                <w:kern w:val="0"/>
                <w:szCs w:val="21"/>
              </w:rPr>
              <w:t>以上</w:t>
            </w:r>
            <w:r>
              <w:rPr>
                <w:rFonts w:hint="eastAsia" w:ascii="宋体" w:hAnsi="宋体"/>
                <w:kern w:val="0"/>
                <w:szCs w:val="21"/>
              </w:rPr>
              <w:t>得6分，以下得2分。</w:t>
            </w:r>
          </w:p>
          <w:p>
            <w:pPr>
              <w:snapToGrid w:val="0"/>
              <w:spacing w:line="360" w:lineRule="auto"/>
              <w:jc w:val="left"/>
              <w:rPr>
                <w:rFonts w:ascii="宋体" w:hAnsi="宋体" w:cs="宋体"/>
                <w:szCs w:val="21"/>
              </w:rPr>
            </w:pPr>
            <w:r>
              <w:rPr>
                <w:rFonts w:hint="eastAsia" w:ascii="宋体" w:hAnsi="宋体"/>
                <w:kern w:val="0"/>
                <w:szCs w:val="21"/>
              </w:rPr>
              <w:t>拥</w:t>
            </w:r>
            <w:r>
              <w:rPr>
                <w:rFonts w:ascii="宋体" w:hAnsi="宋体"/>
                <w:kern w:val="0"/>
                <w:szCs w:val="21"/>
              </w:rPr>
              <w:t>有</w:t>
            </w:r>
            <w:r>
              <w:rPr>
                <w:rFonts w:hint="eastAsia" w:ascii="宋体" w:hAnsi="宋体"/>
                <w:kern w:val="0"/>
                <w:szCs w:val="21"/>
              </w:rPr>
              <w:t>制冷行</w:t>
            </w:r>
            <w:r>
              <w:rPr>
                <w:rFonts w:ascii="宋体" w:hAnsi="宋体"/>
                <w:kern w:val="0"/>
                <w:szCs w:val="21"/>
              </w:rPr>
              <w:t>业维修证书颁发5</w:t>
            </w:r>
            <w:r>
              <w:rPr>
                <w:rFonts w:hint="eastAsia" w:ascii="宋体" w:hAnsi="宋体"/>
                <w:kern w:val="0"/>
                <w:szCs w:val="21"/>
              </w:rPr>
              <w:t>年</w:t>
            </w:r>
            <w:r>
              <w:rPr>
                <w:rFonts w:ascii="宋体" w:hAnsi="宋体"/>
                <w:kern w:val="0"/>
                <w:szCs w:val="21"/>
              </w:rPr>
              <w:t>以上</w:t>
            </w:r>
            <w:r>
              <w:rPr>
                <w:rFonts w:hint="eastAsia" w:ascii="宋体" w:hAnsi="宋体"/>
                <w:kern w:val="0"/>
                <w:szCs w:val="21"/>
              </w:rPr>
              <w:t>每位得3分，</w:t>
            </w:r>
            <w:r>
              <w:rPr>
                <w:rFonts w:ascii="宋体" w:hAnsi="宋体"/>
                <w:kern w:val="0"/>
                <w:szCs w:val="21"/>
              </w:rPr>
              <w:t>最高</w:t>
            </w:r>
            <w:r>
              <w:rPr>
                <w:rFonts w:hint="eastAsia" w:ascii="宋体" w:hAnsi="宋体"/>
                <w:kern w:val="0"/>
                <w:szCs w:val="21"/>
              </w:rPr>
              <w:t>6分；无</w:t>
            </w:r>
            <w:r>
              <w:rPr>
                <w:rFonts w:ascii="宋体" w:hAnsi="宋体"/>
                <w:kern w:val="0"/>
                <w:szCs w:val="21"/>
              </w:rPr>
              <w:t>不得分</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15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56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供应商提供同类维护服务成功案例合同，</w:t>
            </w:r>
            <w:r>
              <w:rPr>
                <w:rFonts w:ascii="宋体" w:hAnsi="宋体"/>
                <w:szCs w:val="21"/>
              </w:rPr>
              <w:t>每</w:t>
            </w:r>
            <w:r>
              <w:rPr>
                <w:rFonts w:hint="eastAsia" w:ascii="宋体" w:hAnsi="宋体"/>
                <w:szCs w:val="21"/>
              </w:rPr>
              <w:t>提供</w:t>
            </w:r>
            <w:r>
              <w:rPr>
                <w:rFonts w:ascii="宋体" w:hAnsi="宋体"/>
                <w:szCs w:val="21"/>
              </w:rPr>
              <w:t>一个得</w:t>
            </w:r>
            <w:r>
              <w:rPr>
                <w:rFonts w:hint="eastAsia" w:ascii="宋体" w:hAnsi="宋体"/>
                <w:szCs w:val="21"/>
              </w:rPr>
              <w:t>3</w:t>
            </w:r>
            <w:r>
              <w:rPr>
                <w:rFonts w:ascii="宋体" w:hAnsi="宋体"/>
                <w:szCs w:val="21"/>
              </w:rPr>
              <w:t>分，</w:t>
            </w:r>
            <w:r>
              <w:rPr>
                <w:rFonts w:hint="eastAsia" w:ascii="宋体" w:hAnsi="宋体"/>
                <w:szCs w:val="21"/>
              </w:rPr>
              <w:t>最高得15</w:t>
            </w:r>
            <w:r>
              <w:rPr>
                <w:rFonts w:ascii="宋体" w:hAnsi="宋体"/>
                <w:szCs w:val="21"/>
              </w:rPr>
              <w:t>分。</w:t>
            </w:r>
            <w:r>
              <w:rPr>
                <w:rFonts w:hint="eastAsia" w:ascii="宋体" w:hAnsi="宋体"/>
                <w:szCs w:val="21"/>
              </w:rPr>
              <w:t>无不得分。</w:t>
            </w:r>
            <w:r>
              <w:rPr>
                <w:rFonts w:hint="eastAsia"/>
                <w:color w:val="000000"/>
                <w:szCs w:val="21"/>
              </w:rPr>
              <w:t>（提供的证明材料加盖公章，须能反映项目名称、主要标的物，签订时间和签章清晰可见。</w:t>
            </w:r>
          </w:p>
          <w:p>
            <w:pPr>
              <w:snapToGrid w:val="0"/>
              <w:jc w:val="left"/>
              <w:rPr>
                <w:rFonts w:ascii="宋体" w:hAnsi="宋体" w:cs="宋体"/>
                <w:szCs w:val="21"/>
              </w:rPr>
            </w:pPr>
          </w:p>
        </w:tc>
      </w:tr>
      <w:bookmarkEnd w:id="0"/>
    </w:tbl>
    <w:p>
      <w:pPr>
        <w:widowControl/>
        <w:spacing w:line="360" w:lineRule="auto"/>
        <w:jc w:val="left"/>
        <w:rPr>
          <w:rFonts w:ascii="宋体" w:hAnsi="宋体"/>
          <w:szCs w:val="21"/>
        </w:rPr>
      </w:pPr>
      <w:r>
        <w:rPr>
          <w:rFonts w:hint="eastAsia" w:ascii="宋体" w:hAnsi="宋体"/>
          <w:szCs w:val="21"/>
        </w:rPr>
        <w:t>说明：</w:t>
      </w:r>
    </w:p>
    <w:p>
      <w:pPr>
        <w:widowControl/>
        <w:spacing w:line="360" w:lineRule="auto"/>
        <w:jc w:val="left"/>
        <w:rPr>
          <w:rFonts w:ascii="宋体" w:hAnsi="宋体"/>
          <w:szCs w:val="21"/>
        </w:rPr>
      </w:pPr>
      <w:r>
        <w:rPr>
          <w:rFonts w:hint="eastAsia" w:ascii="宋体" w:hAnsi="宋体"/>
          <w:szCs w:val="21"/>
        </w:rPr>
        <w:t xml:space="preserve">所有认证、证明和业绩均以有效的证明文件的复印件为依据。 </w:t>
      </w:r>
    </w:p>
    <w:p>
      <w:pPr>
        <w:widowControl/>
        <w:spacing w:line="360" w:lineRule="auto"/>
        <w:jc w:val="left"/>
        <w:rPr>
          <w:rFonts w:ascii="宋体" w:hAnsi="宋体"/>
          <w:szCs w:val="21"/>
        </w:rPr>
      </w:pPr>
    </w:p>
    <w:p>
      <w:pPr>
        <w:pStyle w:val="2"/>
        <w:ind w:firstLine="420"/>
        <w:rPr>
          <w:rFonts w:ascii="宋体" w:hAnsi="宋体"/>
          <w:szCs w:val="21"/>
        </w:rPr>
      </w:pPr>
    </w:p>
    <w:p>
      <w:pPr>
        <w:pStyle w:val="2"/>
        <w:ind w:firstLine="420"/>
        <w:rPr>
          <w:rFonts w:ascii="宋体" w:hAnsi="宋体"/>
          <w:szCs w:val="21"/>
        </w:rPr>
      </w:pPr>
    </w:p>
    <w:p>
      <w:pPr>
        <w:pStyle w:val="2"/>
        <w:ind w:firstLine="420"/>
        <w:rPr>
          <w:rFonts w:ascii="宋体" w:hAnsi="宋体"/>
          <w:szCs w:val="21"/>
        </w:rPr>
      </w:pPr>
    </w:p>
    <w:p>
      <w:pPr>
        <w:pStyle w:val="2"/>
        <w:ind w:firstLine="3640" w:firstLineChars="1300"/>
        <w:rPr>
          <w:rFonts w:ascii="宋体" w:hAnsi="宋体"/>
          <w:sz w:val="28"/>
          <w:szCs w:val="28"/>
          <w:lang w:val="en-US"/>
        </w:rPr>
      </w:pPr>
    </w:p>
    <w:p>
      <w:pPr>
        <w:pStyle w:val="2"/>
        <w:ind w:firstLine="723"/>
        <w:rPr>
          <w:rFonts w:ascii="宋体" w:hAnsi="宋体"/>
          <w:b/>
          <w:sz w:val="36"/>
          <w:szCs w:val="36"/>
        </w:rPr>
      </w:pPr>
    </w:p>
    <w:p>
      <w:pPr>
        <w:numPr>
          <w:ilvl w:val="0"/>
          <w:numId w:val="5"/>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spacing w:line="360" w:lineRule="auto"/>
        <w:ind w:firstLine="420" w:firstLineChars="200"/>
        <w:rPr>
          <w:rFonts w:ascii="宋体" w:hAnsi="宋体"/>
          <w:kern w:val="0"/>
          <w:sz w:val="21"/>
          <w:szCs w:val="21"/>
        </w:rPr>
      </w:pPr>
      <w:r>
        <w:rPr>
          <w:rFonts w:hint="eastAsia" w:ascii="宋体" w:hAnsi="宋体"/>
          <w:kern w:val="0"/>
          <w:sz w:val="21"/>
          <w:szCs w:val="21"/>
        </w:rPr>
        <w:t>一、项目名称：</w:t>
      </w:r>
    </w:p>
    <w:p>
      <w:pPr>
        <w:spacing w:line="360" w:lineRule="auto"/>
        <w:ind w:firstLine="420" w:firstLineChars="200"/>
        <w:rPr>
          <w:rFonts w:ascii="宋体" w:hAnsi="宋体"/>
          <w:kern w:val="0"/>
          <w:sz w:val="21"/>
          <w:szCs w:val="21"/>
        </w:rPr>
      </w:pPr>
      <w:r>
        <w:rPr>
          <w:rFonts w:hint="eastAsia" w:ascii="宋体" w:hAnsi="宋体"/>
          <w:kern w:val="0"/>
          <w:sz w:val="21"/>
          <w:szCs w:val="21"/>
        </w:rPr>
        <w:t>南京市疾控中心空调系统维修保养服务。</w:t>
      </w:r>
    </w:p>
    <w:p>
      <w:pPr>
        <w:spacing w:line="360" w:lineRule="auto"/>
        <w:ind w:firstLine="420" w:firstLineChars="200"/>
        <w:rPr>
          <w:rFonts w:ascii="宋体" w:hAnsi="宋体"/>
          <w:kern w:val="0"/>
          <w:sz w:val="21"/>
          <w:szCs w:val="21"/>
        </w:rPr>
      </w:pPr>
      <w:r>
        <w:rPr>
          <w:rFonts w:hint="eastAsia" w:ascii="宋体" w:hAnsi="宋体"/>
          <w:kern w:val="0"/>
          <w:sz w:val="21"/>
          <w:szCs w:val="21"/>
        </w:rPr>
        <w:t>二、服务地点：</w:t>
      </w:r>
    </w:p>
    <w:p>
      <w:pPr>
        <w:spacing w:line="360" w:lineRule="auto"/>
        <w:ind w:firstLine="420" w:firstLineChars="200"/>
        <w:rPr>
          <w:rFonts w:ascii="宋体" w:hAnsi="宋体"/>
          <w:kern w:val="0"/>
          <w:sz w:val="21"/>
          <w:szCs w:val="21"/>
        </w:rPr>
      </w:pPr>
      <w:r>
        <w:rPr>
          <w:rFonts w:hint="eastAsia" w:ascii="宋体" w:hAnsi="宋体"/>
          <w:kern w:val="0"/>
          <w:sz w:val="21"/>
          <w:szCs w:val="21"/>
        </w:rPr>
        <w:t>南京市疾控中心</w:t>
      </w:r>
    </w:p>
    <w:p>
      <w:pPr>
        <w:spacing w:line="360" w:lineRule="auto"/>
        <w:ind w:firstLine="420" w:firstLineChars="200"/>
        <w:rPr>
          <w:rFonts w:hint="eastAsia" w:ascii="宋体" w:hAnsi="宋体" w:eastAsia="宋体"/>
          <w:kern w:val="0"/>
          <w:sz w:val="21"/>
          <w:szCs w:val="21"/>
          <w:lang w:val="en-US" w:eastAsia="zh-CN"/>
        </w:rPr>
      </w:pPr>
      <w:r>
        <w:rPr>
          <w:rFonts w:hint="eastAsia" w:ascii="宋体" w:hAnsi="宋体"/>
          <w:kern w:val="0"/>
          <w:sz w:val="21"/>
          <w:szCs w:val="21"/>
        </w:rPr>
        <w:t>三、维保空调设备清单</w:t>
      </w:r>
      <w:r>
        <w:rPr>
          <w:rFonts w:hint="eastAsia" w:ascii="宋体" w:hAnsi="宋体"/>
          <w:kern w:val="0"/>
          <w:sz w:val="21"/>
          <w:szCs w:val="21"/>
          <w:lang w:val="en-US" w:eastAsia="zh-CN"/>
        </w:rPr>
        <w:t>:</w:t>
      </w:r>
    </w:p>
    <w:p>
      <w:pPr>
        <w:spacing w:line="360" w:lineRule="auto"/>
        <w:ind w:firstLine="420" w:firstLineChars="200"/>
        <w:rPr>
          <w:rFonts w:ascii="宋体" w:hAnsi="宋体"/>
          <w:kern w:val="0"/>
          <w:sz w:val="21"/>
          <w:szCs w:val="21"/>
        </w:rPr>
      </w:pPr>
      <w:r>
        <w:rPr>
          <w:rFonts w:hint="eastAsia" w:ascii="宋体" w:hAnsi="宋体"/>
          <w:kern w:val="0"/>
          <w:sz w:val="21"/>
          <w:szCs w:val="21"/>
        </w:rPr>
        <w:t>中心共有空调238台，其中质保期内77台，质保期外161台，具体内容详见采购服务内容。</w:t>
      </w:r>
    </w:p>
    <w:p>
      <w:pPr>
        <w:numPr>
          <w:ilvl w:val="0"/>
          <w:numId w:val="6"/>
        </w:numPr>
        <w:spacing w:line="360" w:lineRule="auto"/>
        <w:ind w:firstLine="420" w:firstLineChars="200"/>
        <w:rPr>
          <w:sz w:val="21"/>
          <w:szCs w:val="21"/>
        </w:rPr>
      </w:pPr>
      <w:r>
        <w:rPr>
          <w:rFonts w:hint="eastAsia" w:ascii="宋体" w:hAnsi="宋体"/>
          <w:kern w:val="0"/>
          <w:sz w:val="21"/>
          <w:szCs w:val="21"/>
        </w:rPr>
        <w:t>招标维保服务内容及要求：</w:t>
      </w:r>
    </w:p>
    <w:p>
      <w:pPr>
        <w:spacing w:line="360" w:lineRule="auto"/>
        <w:ind w:firstLine="420" w:firstLineChars="200"/>
        <w:rPr>
          <w:rFonts w:ascii="宋体" w:hAnsi="宋体"/>
          <w:kern w:val="0"/>
          <w:sz w:val="21"/>
          <w:szCs w:val="21"/>
        </w:rPr>
      </w:pPr>
      <w:r>
        <w:rPr>
          <w:rFonts w:hint="eastAsia" w:ascii="宋体" w:hAnsi="宋体"/>
          <w:kern w:val="0"/>
          <w:sz w:val="21"/>
          <w:szCs w:val="21"/>
        </w:rPr>
        <w:t>（1）维修保养服务内容：</w:t>
      </w:r>
    </w:p>
    <w:p>
      <w:pPr>
        <w:spacing w:line="360" w:lineRule="auto"/>
        <w:ind w:firstLine="420" w:firstLineChars="200"/>
        <w:rPr>
          <w:rFonts w:ascii="宋体" w:hAnsi="宋体"/>
          <w:kern w:val="0"/>
          <w:sz w:val="21"/>
          <w:szCs w:val="21"/>
        </w:rPr>
      </w:pPr>
      <w:r>
        <w:rPr>
          <w:rFonts w:hint="eastAsia" w:ascii="宋体" w:hAnsi="宋体"/>
          <w:kern w:val="0"/>
          <w:sz w:val="21"/>
          <w:szCs w:val="21"/>
        </w:rPr>
        <w:t>中心现有空调238台需要进行（1）每年一次的清洁保养：使用专业清洗仪器，对其空调进行一次深度清洗、清洗杀菌、消毒、去除微生物滋生、消灭细菌根源；消杀去除细菌等微生物。（2）夏季、冬季前对所有空调进行一次检修工作，检查、检修电源线、压缩机、系统压力、风扇电机、电加热丝、测量绝缘性能及各种传感器，确保空调正常使用。</w:t>
      </w:r>
    </w:p>
    <w:p>
      <w:pPr>
        <w:spacing w:line="360" w:lineRule="auto"/>
        <w:ind w:firstLine="420" w:firstLineChars="200"/>
        <w:rPr>
          <w:rFonts w:ascii="宋体" w:hAnsi="宋体"/>
          <w:kern w:val="0"/>
          <w:sz w:val="21"/>
          <w:szCs w:val="21"/>
          <w:highlight w:val="none"/>
        </w:rPr>
      </w:pPr>
      <w:r>
        <w:rPr>
          <w:rFonts w:hint="eastAsia" w:ascii="宋体" w:hAnsi="宋体"/>
          <w:kern w:val="0"/>
          <w:sz w:val="21"/>
          <w:szCs w:val="21"/>
        </w:rPr>
        <w:t>其中161台（1P1台、1.5P108台、2P49台、3P2台、5P1台）需进行维保，包含所有</w:t>
      </w:r>
      <w:r>
        <w:rPr>
          <w:rFonts w:hint="eastAsia" w:ascii="宋体" w:hAnsi="宋体"/>
          <w:kern w:val="0"/>
          <w:sz w:val="21"/>
          <w:szCs w:val="21"/>
          <w:highlight w:val="none"/>
        </w:rPr>
        <w:t>空调每台200元以内的上门费、维修费及材料配件费（制冷剂、铜管、阀门、压缩机启动器、风扇电容、传感器等），一年内不记维修次数。</w:t>
      </w:r>
    </w:p>
    <w:p>
      <w:pPr>
        <w:numPr>
          <w:ilvl w:val="0"/>
          <w:numId w:val="7"/>
        </w:numPr>
        <w:spacing w:line="360" w:lineRule="auto"/>
        <w:ind w:firstLine="420" w:firstLineChars="200"/>
        <w:rPr>
          <w:rFonts w:ascii="宋体" w:hAnsi="宋体"/>
          <w:kern w:val="0"/>
          <w:sz w:val="21"/>
          <w:szCs w:val="21"/>
        </w:rPr>
      </w:pPr>
      <w:r>
        <w:rPr>
          <w:rFonts w:hint="eastAsia" w:ascii="宋体" w:hAnsi="宋体"/>
          <w:kern w:val="0"/>
          <w:sz w:val="21"/>
          <w:szCs w:val="21"/>
        </w:rPr>
        <w:t>响应时间要求：</w:t>
      </w:r>
    </w:p>
    <w:p>
      <w:pPr>
        <w:spacing w:line="360" w:lineRule="auto"/>
        <w:ind w:firstLine="420" w:firstLineChars="200"/>
        <w:rPr>
          <w:rFonts w:ascii="宋体" w:hAnsi="宋体"/>
          <w:kern w:val="0"/>
          <w:sz w:val="21"/>
          <w:szCs w:val="21"/>
        </w:rPr>
      </w:pPr>
      <w:r>
        <w:rPr>
          <w:rFonts w:hint="eastAsia" w:ascii="宋体" w:hAnsi="宋体"/>
          <w:kern w:val="0"/>
          <w:sz w:val="21"/>
          <w:szCs w:val="21"/>
        </w:rPr>
        <w:t>24小时接听电话报修，12小时内到达现场并给出维修方案，简单故障当场维修完成，复杂故障及配件问题在两个工作日内完成。在特殊需求情况下，8小时内到场处理，带代用配件给予修复机器。</w:t>
      </w:r>
    </w:p>
    <w:p>
      <w:pPr>
        <w:numPr>
          <w:ilvl w:val="0"/>
          <w:numId w:val="7"/>
        </w:numPr>
        <w:spacing w:line="360" w:lineRule="auto"/>
        <w:ind w:firstLine="420" w:firstLineChars="200"/>
        <w:rPr>
          <w:rFonts w:ascii="宋体" w:hAnsi="宋体"/>
          <w:kern w:val="0"/>
          <w:sz w:val="21"/>
          <w:szCs w:val="21"/>
        </w:rPr>
      </w:pPr>
      <w:r>
        <w:rPr>
          <w:rFonts w:hint="eastAsia" w:ascii="宋体" w:hAnsi="宋体"/>
          <w:kern w:val="0"/>
          <w:sz w:val="21"/>
          <w:szCs w:val="21"/>
        </w:rPr>
        <w:t>维修人员要求：有专人对接，固定一人，同时公司中还有备用人员，具有“特种作业操作证”。</w:t>
      </w:r>
    </w:p>
    <w:p>
      <w:pPr>
        <w:pStyle w:val="2"/>
        <w:ind w:left="420" w:leftChars="200" w:firstLine="0" w:firstLineChars="0"/>
        <w:rPr>
          <w:sz w:val="21"/>
          <w:szCs w:val="21"/>
          <w:lang w:val="en-US"/>
        </w:rPr>
      </w:pPr>
    </w:p>
    <w:p>
      <w:pPr>
        <w:numPr>
          <w:ilvl w:val="0"/>
          <w:numId w:val="8"/>
        </w:numPr>
        <w:spacing w:line="360" w:lineRule="auto"/>
        <w:ind w:firstLine="420" w:firstLineChars="200"/>
        <w:rPr>
          <w:rFonts w:ascii="宋体" w:hAnsi="宋体"/>
          <w:kern w:val="0"/>
          <w:sz w:val="21"/>
          <w:szCs w:val="21"/>
        </w:rPr>
      </w:pPr>
      <w:r>
        <w:rPr>
          <w:rFonts w:hint="eastAsia" w:ascii="宋体" w:hAnsi="宋体"/>
          <w:kern w:val="0"/>
          <w:sz w:val="21"/>
          <w:szCs w:val="21"/>
        </w:rPr>
        <w:t xml:space="preserve">供应商须针对本项目编制详细的项目实施方案，包括但不限于以下内容： </w:t>
      </w:r>
    </w:p>
    <w:p>
      <w:pPr>
        <w:numPr>
          <w:ilvl w:val="0"/>
          <w:numId w:val="9"/>
        </w:numPr>
        <w:spacing w:line="360" w:lineRule="auto"/>
        <w:rPr>
          <w:rFonts w:ascii="宋体" w:hAnsi="宋体"/>
          <w:kern w:val="0"/>
          <w:sz w:val="21"/>
          <w:szCs w:val="21"/>
        </w:rPr>
      </w:pPr>
      <w:r>
        <w:rPr>
          <w:rFonts w:hint="eastAsia" w:ascii="宋体" w:hAnsi="宋体"/>
          <w:kern w:val="0"/>
          <w:sz w:val="21"/>
          <w:szCs w:val="21"/>
        </w:rPr>
        <w:t>提供移机、更换同品牌压缩机、电路板、内外电机（现有三洋、格力、海尔、美的等品牌）的报价，作为价格评分依据之一。</w:t>
      </w:r>
    </w:p>
    <w:p>
      <w:pPr>
        <w:numPr>
          <w:ilvl w:val="0"/>
          <w:numId w:val="9"/>
        </w:numPr>
        <w:spacing w:line="360" w:lineRule="auto"/>
        <w:rPr>
          <w:rFonts w:ascii="宋体" w:hAnsi="宋体"/>
          <w:kern w:val="0"/>
          <w:sz w:val="21"/>
          <w:szCs w:val="21"/>
        </w:rPr>
      </w:pPr>
      <w:r>
        <w:rPr>
          <w:rFonts w:hint="eastAsia" w:ascii="宋体" w:hAnsi="宋体"/>
          <w:kern w:val="0"/>
          <w:sz w:val="21"/>
          <w:szCs w:val="21"/>
        </w:rPr>
        <w:t>本项目的维修方案。</w:t>
      </w:r>
    </w:p>
    <w:p>
      <w:pPr>
        <w:numPr>
          <w:ilvl w:val="0"/>
          <w:numId w:val="9"/>
        </w:numPr>
        <w:spacing w:line="360" w:lineRule="auto"/>
        <w:rPr>
          <w:rFonts w:ascii="宋体" w:hAnsi="宋体"/>
          <w:kern w:val="0"/>
          <w:sz w:val="21"/>
          <w:szCs w:val="21"/>
        </w:rPr>
      </w:pPr>
      <w:r>
        <w:rPr>
          <w:rFonts w:hint="eastAsia" w:ascii="宋体" w:hAnsi="宋体"/>
          <w:kern w:val="0"/>
          <w:sz w:val="21"/>
          <w:szCs w:val="21"/>
        </w:rPr>
        <w:t>本项目的保养方案。</w:t>
      </w:r>
    </w:p>
    <w:p>
      <w:pPr>
        <w:numPr>
          <w:ilvl w:val="0"/>
          <w:numId w:val="9"/>
        </w:numPr>
        <w:spacing w:line="360" w:lineRule="auto"/>
        <w:rPr>
          <w:rFonts w:ascii="宋体" w:hAnsi="宋体"/>
          <w:kern w:val="0"/>
          <w:sz w:val="21"/>
          <w:szCs w:val="21"/>
        </w:rPr>
      </w:pPr>
      <w:r>
        <w:rPr>
          <w:rFonts w:hint="eastAsia" w:ascii="宋体" w:hAnsi="宋体"/>
          <w:kern w:val="0"/>
          <w:sz w:val="21"/>
          <w:szCs w:val="21"/>
        </w:rPr>
        <w:t>本项目的售后服务承诺方案。</w:t>
      </w:r>
    </w:p>
    <w:p>
      <w:pPr>
        <w:numPr>
          <w:ilvl w:val="0"/>
          <w:numId w:val="9"/>
        </w:numPr>
        <w:spacing w:line="360" w:lineRule="auto"/>
        <w:rPr>
          <w:rFonts w:ascii="宋体" w:hAnsi="宋体"/>
          <w:kern w:val="0"/>
          <w:sz w:val="21"/>
          <w:szCs w:val="21"/>
        </w:rPr>
      </w:pPr>
      <w:r>
        <w:rPr>
          <w:rFonts w:hint="eastAsia" w:ascii="宋体" w:hAnsi="宋体"/>
          <w:kern w:val="0"/>
          <w:sz w:val="21"/>
          <w:szCs w:val="21"/>
        </w:rPr>
        <w:t>本项目的应急预案。</w:t>
      </w:r>
    </w:p>
    <w:p>
      <w:pPr>
        <w:numPr>
          <w:ilvl w:val="0"/>
          <w:numId w:val="9"/>
        </w:numPr>
        <w:spacing w:line="360" w:lineRule="auto"/>
        <w:rPr>
          <w:rFonts w:ascii="宋体" w:hAnsi="宋体"/>
          <w:kern w:val="0"/>
          <w:sz w:val="21"/>
          <w:szCs w:val="21"/>
        </w:rPr>
      </w:pPr>
      <w:r>
        <w:rPr>
          <w:rFonts w:hint="eastAsia" w:ascii="宋体" w:hAnsi="宋体"/>
          <w:kern w:val="0"/>
          <w:sz w:val="21"/>
          <w:szCs w:val="21"/>
        </w:rPr>
        <w:t>提供客户清单。（提供内容须包含客户单位名称、联系人、联系方式）。</w:t>
      </w:r>
    </w:p>
    <w:p>
      <w:pPr>
        <w:numPr>
          <w:ilvl w:val="0"/>
          <w:numId w:val="9"/>
        </w:numPr>
        <w:spacing w:line="360" w:lineRule="auto"/>
        <w:rPr>
          <w:rFonts w:ascii="宋体" w:hAnsi="宋体"/>
          <w:kern w:val="0"/>
          <w:sz w:val="21"/>
          <w:szCs w:val="21"/>
        </w:rPr>
      </w:pPr>
      <w:r>
        <w:rPr>
          <w:rFonts w:hint="eastAsia" w:ascii="宋体" w:hAnsi="宋体"/>
          <w:kern w:val="0"/>
          <w:sz w:val="21"/>
          <w:szCs w:val="21"/>
        </w:rPr>
        <w:t>供应商认为需要提供的其他方案。</w:t>
      </w:r>
    </w:p>
    <w:p>
      <w:pPr>
        <w:pStyle w:val="2"/>
        <w:spacing w:line="360" w:lineRule="auto"/>
        <w:ind w:firstLine="420"/>
        <w:rPr>
          <w:lang w:val="en-US"/>
        </w:rPr>
      </w:pPr>
    </w:p>
    <w:p>
      <w:pPr>
        <w:spacing w:after="120"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三、商务需求：</w:t>
      </w:r>
    </w:p>
    <w:p>
      <w:pPr>
        <w:tabs>
          <w:tab w:val="left" w:pos="540"/>
        </w:tabs>
        <w:adjustRightInd w:val="0"/>
        <w:snapToGrid w:val="0"/>
        <w:spacing w:after="120" w:line="360" w:lineRule="auto"/>
        <w:ind w:firstLine="630" w:firstLineChars="300"/>
        <w:rPr>
          <w:ins w:id="0" w:author="Administrator" w:date="2020-07-13T15:12:00Z"/>
          <w:highlight w:val="none"/>
          <w:lang w:val="en-US"/>
        </w:rPr>
      </w:pPr>
      <w:r>
        <w:rPr>
          <w:rFonts w:hint="eastAsia" w:ascii="宋体" w:hAnsi="宋体"/>
          <w:szCs w:val="21"/>
        </w:rPr>
        <w:t>付款方式：</w:t>
      </w:r>
      <w:r>
        <w:rPr>
          <w:highlight w:val="none"/>
          <w:lang w:val="en-US"/>
        </w:rPr>
        <w:t>合同签订之日起每半年付一次款即人民币</w:t>
      </w:r>
      <w:r>
        <w:rPr>
          <w:rFonts w:hint="eastAsia"/>
          <w:highlight w:val="none"/>
          <w:lang w:val="en-US"/>
        </w:rPr>
        <w:t xml:space="preserve">     元。</w:t>
      </w:r>
    </w:p>
    <w:p>
      <w:pPr>
        <w:spacing w:after="12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四、其他要求</w:t>
      </w:r>
    </w:p>
    <w:p>
      <w:pPr>
        <w:pStyle w:val="2"/>
        <w:spacing w:after="120" w:line="360" w:lineRule="auto"/>
        <w:ind w:firstLine="420"/>
        <w:rPr>
          <w:rFonts w:ascii="宋体" w:hAnsi="宋体" w:cs="宋体"/>
          <w:bCs/>
          <w:szCs w:val="24"/>
        </w:rPr>
      </w:pPr>
      <w:r>
        <w:rPr>
          <w:rFonts w:hint="eastAsia"/>
          <w:lang w:val="en-US"/>
        </w:rPr>
        <w:t xml:space="preserve">  </w:t>
      </w:r>
      <w:r>
        <w:rPr>
          <w:rFonts w:hint="eastAsia" w:ascii="宋体" w:hAnsi="宋体"/>
          <w:lang w:val="en-US"/>
        </w:rPr>
        <w:t>1、</w:t>
      </w:r>
      <w:r>
        <w:rPr>
          <w:rFonts w:hint="eastAsia" w:ascii="宋体" w:hAnsi="宋体" w:cs="宋体"/>
          <w:bCs/>
          <w:szCs w:val="24"/>
        </w:rPr>
        <w:t>供应商必须整包响应，所投包中的产品必需投全。</w:t>
      </w:r>
    </w:p>
    <w:p>
      <w:pPr>
        <w:pStyle w:val="2"/>
        <w:spacing w:after="120" w:line="360" w:lineRule="auto"/>
        <w:ind w:firstLine="420"/>
        <w:rPr>
          <w:rFonts w:ascii="宋体" w:hAnsi="宋体" w:cs="宋体"/>
          <w:bCs/>
          <w:szCs w:val="24"/>
        </w:rPr>
      </w:pPr>
      <w:r>
        <w:rPr>
          <w:rFonts w:hint="eastAsia" w:ascii="宋体" w:hAnsi="宋体" w:cs="宋体"/>
          <w:bCs/>
          <w:szCs w:val="24"/>
        </w:rPr>
        <w:t xml:space="preserve">  2、供应商应按招标文件中的技术规格及要求进行准确报价，本招标文件提出的要求是最低限度的要求，并未对一切细节作出规定，也未充分引述有关标准和规范的条文，供应商应保证提供符合本招标文件的成熟可靠的优质产品。</w:t>
      </w:r>
    </w:p>
    <w:p>
      <w:pPr>
        <w:pStyle w:val="2"/>
        <w:spacing w:after="120" w:line="360" w:lineRule="auto"/>
        <w:ind w:firstLine="420"/>
        <w:rPr>
          <w:rFonts w:ascii="宋体" w:hAnsi="宋体" w:cs="宋体"/>
          <w:bCs/>
          <w:szCs w:val="24"/>
        </w:rPr>
      </w:pPr>
      <w:r>
        <w:rPr>
          <w:rFonts w:hint="eastAsia" w:ascii="宋体" w:hAnsi="宋体" w:cs="宋体"/>
          <w:bCs/>
          <w:szCs w:val="24"/>
        </w:rPr>
        <w:t xml:space="preserve">  3、投标文件构成</w:t>
      </w:r>
    </w:p>
    <w:p>
      <w:pPr>
        <w:adjustRightInd w:val="0"/>
        <w:snapToGrid w:val="0"/>
        <w:spacing w:after="120" w:line="360" w:lineRule="auto"/>
        <w:ind w:firstLine="630" w:firstLineChars="300"/>
        <w:rPr>
          <w:rFonts w:ascii="宋体" w:hAnsi="宋体"/>
          <w:szCs w:val="21"/>
        </w:rPr>
      </w:pPr>
      <w:r>
        <w:rPr>
          <w:rFonts w:hint="eastAsia" w:ascii="宋体" w:hAnsi="宋体"/>
          <w:szCs w:val="21"/>
        </w:rPr>
        <w:t>投标文件包括：投标函和投标报价表；资质证明文件；招标文件要求的其他内容；</w:t>
      </w:r>
      <w:r>
        <w:rPr>
          <w:rFonts w:hint="eastAsia" w:ascii="宋体" w:hAnsi="宋体" w:cs="宋体"/>
          <w:szCs w:val="24"/>
        </w:rPr>
        <w:t>报价表；商务条款偏差表</w:t>
      </w:r>
      <w:r>
        <w:rPr>
          <w:rFonts w:hint="eastAsia" w:ascii="宋体" w:hAnsi="宋体"/>
          <w:szCs w:val="21"/>
        </w:rPr>
        <w:t>。</w:t>
      </w:r>
    </w:p>
    <w:p>
      <w:pPr>
        <w:pStyle w:val="2"/>
        <w:spacing w:after="120" w:line="360" w:lineRule="auto"/>
        <w:ind w:firstLine="420"/>
        <w:rPr>
          <w:rFonts w:ascii="宋体" w:hAnsi="宋体"/>
          <w:lang w:val="en-US"/>
        </w:rPr>
      </w:pPr>
      <w:r>
        <w:rPr>
          <w:rFonts w:hint="eastAsia"/>
          <w:lang w:val="en-US"/>
        </w:rPr>
        <w:t xml:space="preserve">  </w:t>
      </w:r>
      <w:r>
        <w:rPr>
          <w:rFonts w:hint="eastAsia" w:ascii="宋体" w:hAnsi="宋体"/>
          <w:lang w:val="en-US"/>
        </w:rPr>
        <w:t>4、</w:t>
      </w:r>
      <w:r>
        <w:rPr>
          <w:rFonts w:hint="eastAsia" w:ascii="宋体" w:hAnsi="宋体"/>
          <w:szCs w:val="21"/>
        </w:rPr>
        <w:t>投标人应完整填写招标文件所提供的投标函和投标报价表。</w:t>
      </w:r>
      <w:r>
        <w:rPr>
          <w:rFonts w:ascii="宋体" w:hAnsi="宋体"/>
          <w:szCs w:val="21"/>
        </w:rPr>
        <w:t>投标报价要有每种型号规格的单价。</w:t>
      </w:r>
    </w:p>
    <w:p>
      <w:pPr>
        <w:pStyle w:val="2"/>
        <w:spacing w:after="120" w:line="360" w:lineRule="auto"/>
        <w:ind w:firstLine="420"/>
        <w:rPr>
          <w:rFonts w:ascii="宋体" w:hAnsi="宋体"/>
          <w:lang w:val="en-US"/>
        </w:rPr>
      </w:pPr>
    </w:p>
    <w:p>
      <w:pPr>
        <w:pStyle w:val="5"/>
        <w:spacing w:line="360" w:lineRule="auto"/>
        <w:ind w:left="1470" w:right="1470"/>
        <w:rPr>
          <w:rFonts w:ascii="宋体" w:hAnsi="宋体"/>
          <w:szCs w:val="21"/>
        </w:rPr>
      </w:pPr>
    </w:p>
    <w:p>
      <w:pPr>
        <w:pStyle w:val="5"/>
        <w:ind w:left="1470" w:right="1470"/>
        <w:rPr>
          <w:rFonts w:ascii="宋体" w:hAnsi="宋体"/>
          <w:szCs w:val="21"/>
        </w:rPr>
      </w:pPr>
    </w:p>
    <w:p>
      <w:pPr>
        <w:widowControl/>
        <w:jc w:val="center"/>
        <w:rPr>
          <w:rFonts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pPr>
        <w:jc w:val="center"/>
        <w:rPr>
          <w:rFonts w:ascii="宋体" w:hAnsi="宋体"/>
          <w:b/>
          <w:sz w:val="28"/>
          <w:szCs w:val="28"/>
        </w:rPr>
      </w:pPr>
      <w:r>
        <w:rPr>
          <w:rFonts w:hint="eastAsia" w:ascii="宋体" w:hAnsi="宋体"/>
          <w:b/>
          <w:sz w:val="28"/>
          <w:szCs w:val="28"/>
        </w:rPr>
        <w:t>采购合同</w:t>
      </w:r>
    </w:p>
    <w:p>
      <w:pPr>
        <w:autoSpaceDE w:val="0"/>
        <w:autoSpaceDN w:val="0"/>
        <w:adjustRightInd w:val="0"/>
        <w:spacing w:line="360" w:lineRule="auto"/>
        <w:ind w:firstLine="352" w:firstLineChars="167"/>
        <w:jc w:val="center"/>
        <w:rPr>
          <w:rFonts w:ascii="宋体" w:hAnsi="宋体" w:cs="Arial"/>
          <w:b/>
          <w:szCs w:val="21"/>
        </w:rPr>
      </w:pPr>
      <w:r>
        <w:rPr>
          <w:rFonts w:hint="eastAsia" w:ascii="宋体" w:hAnsi="宋体" w:cs="Arial"/>
          <w:b/>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sz w:val="36"/>
          <w:szCs w:val="36"/>
        </w:rPr>
      </w:pPr>
      <w:r>
        <w:rPr>
          <w:rFonts w:hint="eastAsia"/>
          <w:sz w:val="21"/>
          <w:szCs w:val="21"/>
        </w:rPr>
        <w:t>甲方：南京市疾病预防控制中心</w:t>
      </w:r>
      <w:r>
        <w:rPr>
          <w:rFonts w:hint="eastAsia"/>
          <w:sz w:val="21"/>
          <w:szCs w:val="21"/>
          <w:lang w:val="en-US" w:eastAsia="zh-CN"/>
        </w:rPr>
        <w:t xml:space="preserve">            </w:t>
      </w:r>
      <w:r>
        <w:rPr>
          <w:rFonts w:hint="eastAsia"/>
          <w:sz w:val="21"/>
          <w:szCs w:val="21"/>
        </w:rPr>
        <w:t>乙方：</w:t>
      </w:r>
      <w:r>
        <w:rPr>
          <w:sz w:val="36"/>
          <w:szCs w:val="36"/>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36"/>
          <w:szCs w:val="36"/>
        </w:rPr>
      </w:pPr>
      <w:r>
        <w:rPr>
          <w:rFonts w:hint="eastAsia"/>
          <w:sz w:val="36"/>
          <w:szCs w:val="36"/>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依据[中华人民共和国合同法]及相关法律规定，甲乙双方友好协商，就空调维修保养事宜达成一致，同意签订本合同，按双方的约定执行。</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b/>
          <w:bCs/>
          <w:sz w:val="21"/>
          <w:szCs w:val="21"/>
        </w:rPr>
        <w:t>一：合同标</w:t>
      </w:r>
      <w:r>
        <w:rPr>
          <w:rFonts w:hint="eastAsia"/>
          <w:sz w:val="21"/>
          <w:szCs w:val="21"/>
        </w:rPr>
        <w:t>；</w:t>
      </w:r>
    </w:p>
    <w:p>
      <w:pPr>
        <w:keepNext w:val="0"/>
        <w:keepLines w:val="0"/>
        <w:pageBreakBefore w:val="0"/>
        <w:kinsoku/>
        <w:wordWrap/>
        <w:overflowPunct/>
        <w:topLinePunct w:val="0"/>
        <w:autoSpaceDE/>
        <w:autoSpaceDN/>
        <w:bidi w:val="0"/>
        <w:adjustRightInd/>
        <w:snapToGrid/>
        <w:spacing w:line="360" w:lineRule="auto"/>
        <w:ind w:firstLine="720"/>
        <w:textAlignment w:val="auto"/>
        <w:rPr>
          <w:sz w:val="21"/>
          <w:szCs w:val="21"/>
        </w:rPr>
      </w:pPr>
      <w:r>
        <w:rPr>
          <w:rFonts w:hint="eastAsia"/>
          <w:sz w:val="21"/>
          <w:szCs w:val="21"/>
        </w:rPr>
        <w:t>乙方受甲方委托，委其在用的所有品牌空调提供有偿的维修和保养服务。维修保养服务标准，严格按照空调系统维护保养手册执行的空调维护保养。服务范围为挂壁式、柜式及天花式空调，对以上空调每年维修保养服务内容如下；</w:t>
      </w:r>
    </w:p>
    <w:p>
      <w:pPr>
        <w:keepNext w:val="0"/>
        <w:keepLines w:val="0"/>
        <w:pageBreakBefore w:val="0"/>
        <w:kinsoku/>
        <w:wordWrap/>
        <w:overflowPunct/>
        <w:topLinePunct w:val="0"/>
        <w:autoSpaceDE/>
        <w:autoSpaceDN/>
        <w:bidi w:val="0"/>
        <w:adjustRightInd/>
        <w:snapToGrid/>
        <w:spacing w:line="360" w:lineRule="auto"/>
        <w:ind w:firstLine="720"/>
        <w:textAlignment w:val="auto"/>
        <w:rPr>
          <w:sz w:val="21"/>
          <w:szCs w:val="21"/>
        </w:rPr>
      </w:pPr>
      <w:r>
        <w:rPr>
          <w:rFonts w:hint="eastAsia"/>
          <w:sz w:val="21"/>
          <w:szCs w:val="21"/>
        </w:rPr>
        <w:t>1：对所有空调每年进行一次清新杀菌、消毒、去除微生物滋生、消灭细菌根源，使风机所送的调节风符合空气卫生标准。</w:t>
      </w:r>
    </w:p>
    <w:p>
      <w:pPr>
        <w:keepNext w:val="0"/>
        <w:keepLines w:val="0"/>
        <w:pageBreakBefore w:val="0"/>
        <w:kinsoku/>
        <w:wordWrap/>
        <w:overflowPunct/>
        <w:topLinePunct w:val="0"/>
        <w:autoSpaceDE/>
        <w:autoSpaceDN/>
        <w:bidi w:val="0"/>
        <w:adjustRightInd/>
        <w:snapToGrid/>
        <w:spacing w:line="360" w:lineRule="auto"/>
        <w:ind w:firstLine="720"/>
        <w:textAlignment w:val="auto"/>
        <w:rPr>
          <w:sz w:val="21"/>
          <w:szCs w:val="21"/>
        </w:rPr>
      </w:pPr>
      <w:r>
        <w:rPr>
          <w:rFonts w:hint="eastAsia"/>
          <w:sz w:val="21"/>
          <w:szCs w:val="21"/>
        </w:rPr>
        <w:t>使用专业清洗仪器深度清洗除菌方式。</w:t>
      </w:r>
    </w:p>
    <w:p>
      <w:pPr>
        <w:keepNext w:val="0"/>
        <w:keepLines w:val="0"/>
        <w:pageBreakBefore w:val="0"/>
        <w:kinsoku/>
        <w:wordWrap/>
        <w:overflowPunct/>
        <w:topLinePunct w:val="0"/>
        <w:autoSpaceDE/>
        <w:autoSpaceDN/>
        <w:bidi w:val="0"/>
        <w:adjustRightInd/>
        <w:snapToGrid/>
        <w:spacing w:line="360" w:lineRule="auto"/>
        <w:ind w:firstLine="720"/>
        <w:textAlignment w:val="auto"/>
        <w:rPr>
          <w:sz w:val="21"/>
          <w:szCs w:val="21"/>
        </w:rPr>
      </w:pPr>
      <w:r>
        <w:rPr>
          <w:rFonts w:hint="eastAsia"/>
          <w:sz w:val="21"/>
          <w:szCs w:val="21"/>
        </w:rPr>
        <w:t>2：对空调每年两次检查和检修维护，(早发现会减少故障率，降低因小失大的成本)检查电源、压缩机、系统压力、风扇电机、电加热丝等绝缘性能及各种传感器使用性能。</w:t>
      </w:r>
    </w:p>
    <w:p>
      <w:pPr>
        <w:keepNext w:val="0"/>
        <w:keepLines w:val="0"/>
        <w:pageBreakBefore w:val="0"/>
        <w:kinsoku/>
        <w:wordWrap/>
        <w:overflowPunct/>
        <w:topLinePunct w:val="0"/>
        <w:autoSpaceDE/>
        <w:autoSpaceDN/>
        <w:bidi w:val="0"/>
        <w:adjustRightInd/>
        <w:snapToGrid/>
        <w:spacing w:line="360" w:lineRule="auto"/>
        <w:ind w:firstLine="720"/>
        <w:textAlignment w:val="auto"/>
        <w:rPr>
          <w:sz w:val="21"/>
          <w:szCs w:val="21"/>
        </w:rPr>
      </w:pPr>
      <w:r>
        <w:rPr>
          <w:rFonts w:hint="eastAsia"/>
          <w:sz w:val="21"/>
          <w:szCs w:val="21"/>
        </w:rPr>
        <w:t>3：每一年合同内包含所有空调维修费、制冷剂及维修过程中产生的铜管、阀门、压缩机启动器、电容和传感器材料配件。</w:t>
      </w:r>
    </w:p>
    <w:p>
      <w:pPr>
        <w:keepNext w:val="0"/>
        <w:keepLines w:val="0"/>
        <w:pageBreakBefore w:val="0"/>
        <w:kinsoku/>
        <w:wordWrap/>
        <w:overflowPunct/>
        <w:topLinePunct w:val="0"/>
        <w:autoSpaceDE/>
        <w:autoSpaceDN/>
        <w:bidi w:val="0"/>
        <w:adjustRightInd/>
        <w:snapToGrid/>
        <w:spacing w:line="360" w:lineRule="auto"/>
        <w:textAlignment w:val="auto"/>
        <w:rPr>
          <w:b/>
          <w:bCs/>
          <w:sz w:val="21"/>
          <w:szCs w:val="21"/>
        </w:rPr>
      </w:pPr>
      <w:r>
        <w:rPr>
          <w:rFonts w:hint="eastAsia"/>
          <w:b/>
          <w:bCs/>
          <w:sz w:val="21"/>
          <w:szCs w:val="21"/>
        </w:rPr>
        <w:t>二：乙方责任</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1：严格按照空调维修操作规范给甲方空调维修保养服务。</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2：提供24小时不限次数的电话叫修，一般情况下8小时内到场并完成维修任务。若遇紧急报修，在2小时内到场维修，如是小修问题2小时内完成，如遇到大修及配件问题给出解决方案，提供保证质量的代用配件使用在4小时内完成修复。</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3：甲方若有特殊情况下需求，乙方可提供应急响应服务，并派专人到场值守。</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4：无条件接受甲方监督，更换下来的损坏配件交甲方查验。</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5：乙方派一位专业性强的专人给甲方服务。</w:t>
      </w:r>
    </w:p>
    <w:p>
      <w:pPr>
        <w:keepNext w:val="0"/>
        <w:keepLines w:val="0"/>
        <w:pageBreakBefore w:val="0"/>
        <w:kinsoku/>
        <w:wordWrap/>
        <w:overflowPunct/>
        <w:topLinePunct w:val="0"/>
        <w:autoSpaceDE/>
        <w:autoSpaceDN/>
        <w:bidi w:val="0"/>
        <w:adjustRightInd/>
        <w:snapToGrid/>
        <w:spacing w:line="360" w:lineRule="auto"/>
        <w:textAlignment w:val="auto"/>
        <w:rPr>
          <w:b/>
          <w:bCs/>
          <w:sz w:val="21"/>
          <w:szCs w:val="21"/>
        </w:rPr>
      </w:pPr>
      <w:r>
        <w:rPr>
          <w:rFonts w:hint="eastAsia"/>
          <w:b/>
          <w:bCs/>
          <w:sz w:val="21"/>
          <w:szCs w:val="21"/>
        </w:rPr>
        <w:t>三：甲方责任</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1：甲方在乙方空调维修过程中提供方便。</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2：合同期内如出现人为损坏、供电以及雷击等自然灾害造成的损坏，产生的所有一切费用由甲方承担。</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3：维修过程中如果需要更换的配件如；</w:t>
      </w:r>
      <w:r>
        <w:rPr>
          <w:rFonts w:hint="eastAsia"/>
          <w:b/>
          <w:bCs/>
          <w:sz w:val="21"/>
          <w:szCs w:val="21"/>
        </w:rPr>
        <w:t>压缩机、电路板、空调外观件</w:t>
      </w:r>
      <w:r>
        <w:rPr>
          <w:rFonts w:hint="eastAsia"/>
          <w:sz w:val="21"/>
          <w:szCs w:val="21"/>
        </w:rPr>
        <w:t>（由于更新换代太快，外观件及专属配件无法保证提供）</w:t>
      </w:r>
      <w:r>
        <w:rPr>
          <w:rFonts w:hint="eastAsia"/>
          <w:b/>
          <w:bCs/>
          <w:sz w:val="21"/>
          <w:szCs w:val="21"/>
        </w:rPr>
        <w:t>不在年保费内</w:t>
      </w:r>
      <w:r>
        <w:rPr>
          <w:rFonts w:hint="eastAsia"/>
          <w:sz w:val="21"/>
          <w:szCs w:val="21"/>
        </w:rPr>
        <w:t>，需要甲方提供。需要乙方代购的配件，乙方报价后甲方签字认可后付费。</w:t>
      </w:r>
    </w:p>
    <w:p>
      <w:pPr>
        <w:keepNext w:val="0"/>
        <w:keepLines w:val="0"/>
        <w:pageBreakBefore w:val="0"/>
        <w:kinsoku/>
        <w:wordWrap/>
        <w:overflowPunct/>
        <w:topLinePunct w:val="0"/>
        <w:autoSpaceDE/>
        <w:autoSpaceDN/>
        <w:bidi w:val="0"/>
        <w:adjustRightInd/>
        <w:snapToGrid/>
        <w:spacing w:line="360" w:lineRule="auto"/>
        <w:ind w:firstLine="720"/>
        <w:textAlignment w:val="auto"/>
        <w:rPr>
          <w:sz w:val="21"/>
          <w:szCs w:val="21"/>
        </w:rPr>
      </w:pPr>
      <w:r>
        <w:rPr>
          <w:rFonts w:hint="eastAsia"/>
          <w:sz w:val="21"/>
          <w:szCs w:val="21"/>
        </w:rPr>
        <w:t>4：合同外产生的其它维修、移空调、安装等项目所产生的服务费和材料费另计。</w:t>
      </w:r>
    </w:p>
    <w:p>
      <w:pPr>
        <w:keepNext w:val="0"/>
        <w:keepLines w:val="0"/>
        <w:pageBreakBefore w:val="0"/>
        <w:kinsoku/>
        <w:wordWrap/>
        <w:overflowPunct/>
        <w:topLinePunct w:val="0"/>
        <w:autoSpaceDE/>
        <w:autoSpaceDN/>
        <w:bidi w:val="0"/>
        <w:adjustRightInd/>
        <w:snapToGrid/>
        <w:spacing w:line="360" w:lineRule="auto"/>
        <w:ind w:firstLine="720"/>
        <w:textAlignment w:val="auto"/>
        <w:rPr>
          <w:sz w:val="21"/>
          <w:szCs w:val="21"/>
        </w:rPr>
      </w:pPr>
      <w:r>
        <w:rPr>
          <w:rFonts w:hint="eastAsia"/>
          <w:sz w:val="21"/>
          <w:szCs w:val="21"/>
        </w:rPr>
        <w:t>5:甲方有实验室里专用空调如遇特殊情况（无菌场所，属于医用设备需要对应服务单位维护），不在乙方维保内。</w:t>
      </w:r>
    </w:p>
    <w:p>
      <w:pPr>
        <w:keepNext w:val="0"/>
        <w:keepLines w:val="0"/>
        <w:pageBreakBefore w:val="0"/>
        <w:kinsoku/>
        <w:wordWrap/>
        <w:overflowPunct/>
        <w:topLinePunct w:val="0"/>
        <w:autoSpaceDE/>
        <w:autoSpaceDN/>
        <w:bidi w:val="0"/>
        <w:adjustRightInd/>
        <w:snapToGrid/>
        <w:spacing w:line="360" w:lineRule="auto"/>
        <w:textAlignment w:val="auto"/>
        <w:rPr>
          <w:b/>
          <w:bCs/>
          <w:sz w:val="21"/>
          <w:szCs w:val="21"/>
        </w:rPr>
      </w:pPr>
      <w:r>
        <w:rPr>
          <w:rFonts w:hint="eastAsia"/>
          <w:b/>
          <w:bCs/>
          <w:sz w:val="21"/>
          <w:szCs w:val="21"/>
        </w:rPr>
        <w:t>四：违约责任</w:t>
      </w:r>
    </w:p>
    <w:p>
      <w:pPr>
        <w:keepNext w:val="0"/>
        <w:keepLines w:val="0"/>
        <w:pageBreakBefore w:val="0"/>
        <w:kinsoku/>
        <w:wordWrap/>
        <w:overflowPunct/>
        <w:topLinePunct w:val="0"/>
        <w:autoSpaceDE/>
        <w:autoSpaceDN/>
        <w:bidi w:val="0"/>
        <w:adjustRightInd/>
        <w:snapToGrid/>
        <w:spacing w:line="360" w:lineRule="auto"/>
        <w:ind w:firstLine="720"/>
        <w:textAlignment w:val="auto"/>
        <w:rPr>
          <w:sz w:val="21"/>
          <w:szCs w:val="21"/>
        </w:rPr>
      </w:pPr>
      <w:r>
        <w:rPr>
          <w:rFonts w:hint="eastAsia"/>
          <w:sz w:val="21"/>
          <w:szCs w:val="21"/>
        </w:rPr>
        <w:t>若乙方违约需要向甲方支付违约金1000元。甲方有权要求乙方继续履行合同。甲方在没有不可抗拒的原因不得终止合同。</w:t>
      </w:r>
    </w:p>
    <w:p>
      <w:pPr>
        <w:keepNext w:val="0"/>
        <w:keepLines w:val="0"/>
        <w:pageBreakBefore w:val="0"/>
        <w:kinsoku/>
        <w:wordWrap/>
        <w:overflowPunct/>
        <w:topLinePunct w:val="0"/>
        <w:autoSpaceDE/>
        <w:autoSpaceDN/>
        <w:bidi w:val="0"/>
        <w:adjustRightInd/>
        <w:snapToGrid/>
        <w:spacing w:line="360" w:lineRule="auto"/>
        <w:textAlignment w:val="auto"/>
        <w:rPr>
          <w:b/>
          <w:bCs/>
          <w:sz w:val="21"/>
          <w:szCs w:val="21"/>
        </w:rPr>
      </w:pPr>
      <w:r>
        <w:rPr>
          <w:rFonts w:hint="eastAsia"/>
          <w:b/>
          <w:bCs/>
          <w:sz w:val="21"/>
          <w:szCs w:val="21"/>
        </w:rPr>
        <w:t>五：付款方式</w:t>
      </w:r>
    </w:p>
    <w:p>
      <w:pPr>
        <w:keepNext w:val="0"/>
        <w:keepLines w:val="0"/>
        <w:pageBreakBefore w:val="0"/>
        <w:kinsoku/>
        <w:wordWrap/>
        <w:overflowPunct/>
        <w:topLinePunct w:val="0"/>
        <w:autoSpaceDE/>
        <w:autoSpaceDN/>
        <w:bidi w:val="0"/>
        <w:adjustRightInd/>
        <w:snapToGrid/>
        <w:spacing w:line="360" w:lineRule="auto"/>
        <w:ind w:firstLine="720"/>
        <w:textAlignment w:val="auto"/>
        <w:rPr>
          <w:sz w:val="21"/>
          <w:szCs w:val="21"/>
        </w:rPr>
      </w:pPr>
      <w:r>
        <w:rPr>
          <w:rFonts w:hint="eastAsia"/>
          <w:sz w:val="21"/>
          <w:szCs w:val="21"/>
        </w:rPr>
        <w:t>合同内空调一年中不记维修次数，维修费及保养费共计人民币    ，合同签订之日起到半年（6个月）付一次款即人民币   。</w:t>
      </w:r>
    </w:p>
    <w:p>
      <w:pPr>
        <w:keepNext w:val="0"/>
        <w:keepLines w:val="0"/>
        <w:pageBreakBefore w:val="0"/>
        <w:kinsoku/>
        <w:wordWrap/>
        <w:overflowPunct/>
        <w:topLinePunct w:val="0"/>
        <w:autoSpaceDE/>
        <w:autoSpaceDN/>
        <w:bidi w:val="0"/>
        <w:adjustRightInd/>
        <w:snapToGrid/>
        <w:spacing w:line="360" w:lineRule="auto"/>
        <w:textAlignment w:val="auto"/>
        <w:rPr>
          <w:b/>
          <w:bCs/>
          <w:sz w:val="21"/>
          <w:szCs w:val="21"/>
        </w:rPr>
      </w:pPr>
      <w:r>
        <w:rPr>
          <w:rFonts w:hint="eastAsia"/>
          <w:b/>
          <w:bCs/>
          <w:sz w:val="21"/>
          <w:szCs w:val="21"/>
        </w:rPr>
        <w:t>六：维保期限</w:t>
      </w:r>
    </w:p>
    <w:p>
      <w:pPr>
        <w:keepNext w:val="0"/>
        <w:keepLines w:val="0"/>
        <w:pageBreakBefore w:val="0"/>
        <w:kinsoku/>
        <w:wordWrap/>
        <w:overflowPunct/>
        <w:topLinePunct w:val="0"/>
        <w:autoSpaceDE/>
        <w:autoSpaceDN/>
        <w:bidi w:val="0"/>
        <w:adjustRightInd/>
        <w:snapToGrid/>
        <w:spacing w:line="360" w:lineRule="auto"/>
        <w:ind w:firstLine="720"/>
        <w:textAlignment w:val="auto"/>
        <w:rPr>
          <w:sz w:val="21"/>
          <w:szCs w:val="21"/>
        </w:rPr>
      </w:pPr>
      <w:r>
        <w:rPr>
          <w:rFonts w:hint="eastAsia"/>
          <w:sz w:val="21"/>
          <w:szCs w:val="21"/>
        </w:rPr>
        <w:t>自2021年6月1号至2023年5月31号。合同到期后如双方没有异议可以按本合同条款续保，可在本合同最后一栏里双方主管领导签字依法生效。</w:t>
      </w:r>
    </w:p>
    <w:p>
      <w:pPr>
        <w:keepNext w:val="0"/>
        <w:keepLines w:val="0"/>
        <w:pageBreakBefore w:val="0"/>
        <w:kinsoku/>
        <w:wordWrap/>
        <w:overflowPunct/>
        <w:topLinePunct w:val="0"/>
        <w:autoSpaceDE/>
        <w:autoSpaceDN/>
        <w:bidi w:val="0"/>
        <w:adjustRightInd/>
        <w:snapToGrid/>
        <w:spacing w:line="360" w:lineRule="auto"/>
        <w:textAlignment w:val="auto"/>
        <w:rPr>
          <w:b/>
          <w:bCs/>
          <w:sz w:val="21"/>
          <w:szCs w:val="21"/>
        </w:rPr>
      </w:pPr>
      <w:r>
        <w:rPr>
          <w:rFonts w:hint="eastAsia"/>
          <w:b/>
          <w:bCs/>
          <w:sz w:val="21"/>
          <w:szCs w:val="21"/>
        </w:rPr>
        <w:t>七：本合同共5页，自双方签字或盖章立即生效。</w:t>
      </w:r>
    </w:p>
    <w:p>
      <w:pPr>
        <w:keepNext w:val="0"/>
        <w:keepLines w:val="0"/>
        <w:pageBreakBefore w:val="0"/>
        <w:kinsoku/>
        <w:wordWrap/>
        <w:overflowPunct/>
        <w:topLinePunct w:val="0"/>
        <w:autoSpaceDE/>
        <w:autoSpaceDN/>
        <w:bidi w:val="0"/>
        <w:adjustRightInd/>
        <w:snapToGrid/>
        <w:spacing w:line="360" w:lineRule="auto"/>
        <w:textAlignment w:val="auto"/>
        <w:rPr>
          <w:b/>
          <w:bCs/>
          <w:sz w:val="21"/>
          <w:szCs w:val="21"/>
        </w:rPr>
      </w:pPr>
      <w:r>
        <w:rPr>
          <w:rFonts w:hint="eastAsia"/>
          <w:b/>
          <w:bCs/>
          <w:sz w:val="21"/>
          <w:szCs w:val="21"/>
        </w:rPr>
        <w:t>八：备注；</w:t>
      </w:r>
    </w:p>
    <w:p>
      <w:pPr>
        <w:keepNext w:val="0"/>
        <w:keepLines w:val="0"/>
        <w:pageBreakBefore w:val="0"/>
        <w:kinsoku/>
        <w:wordWrap/>
        <w:overflowPunct/>
        <w:topLinePunct w:val="0"/>
        <w:autoSpaceDE/>
        <w:autoSpaceDN/>
        <w:bidi w:val="0"/>
        <w:adjustRightInd/>
        <w:snapToGrid/>
        <w:spacing w:line="360" w:lineRule="auto"/>
        <w:textAlignment w:val="auto"/>
        <w:rPr>
          <w:b/>
          <w:bCs/>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sz w:val="21"/>
          <w:szCs w:val="21"/>
          <w:lang w:val="en-US" w:eastAsia="zh-CN"/>
        </w:rPr>
      </w:pPr>
      <w:r>
        <w:rPr>
          <w:rFonts w:hint="eastAsia"/>
          <w:sz w:val="21"/>
          <w:szCs w:val="21"/>
        </w:rPr>
        <w:t>甲方： 南京市疾病预防控制中心</w:t>
      </w:r>
      <w:r>
        <w:rPr>
          <w:rFonts w:hint="eastAsia"/>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 xml:space="preserve">法人代表：                      </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（或委托代理人）</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乙方：</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法人代表：</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日期：2021年6月1号</w:t>
      </w:r>
    </w:p>
    <w:p>
      <w:pPr>
        <w:keepNext w:val="0"/>
        <w:keepLines w:val="0"/>
        <w:pageBreakBefore w:val="0"/>
        <w:kinsoku/>
        <w:wordWrap/>
        <w:overflowPunct/>
        <w:topLinePunct w:val="0"/>
        <w:autoSpaceDE/>
        <w:autoSpaceDN/>
        <w:bidi w:val="0"/>
        <w:adjustRightInd/>
        <w:snapToGrid/>
        <w:spacing w:line="360" w:lineRule="auto"/>
        <w:ind w:firstLine="1050" w:firstLineChars="500"/>
        <w:textAlignment w:val="auto"/>
        <w:rPr>
          <w:sz w:val="21"/>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sz w:val="21"/>
          <w:szCs w:val="21"/>
        </w:rPr>
      </w:pPr>
      <w:r>
        <w:rPr>
          <w:rFonts w:hint="eastAsia" w:ascii="宋体" w:hAnsi="宋体" w:cs="宋体"/>
          <w:color w:val="000000"/>
          <w:kern w:val="0"/>
          <w:sz w:val="21"/>
          <w:szCs w:val="21"/>
        </w:rPr>
        <w:t xml:space="preserve">注：请供应商按照以下文件的要求格式、内容，顺序制作响应文件。 </w:t>
      </w:r>
    </w:p>
    <w:p>
      <w:pPr>
        <w:pStyle w:val="5"/>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pPr>
        <w:pStyle w:val="2"/>
        <w:ind w:firstLine="420"/>
      </w:pPr>
    </w:p>
    <w:p>
      <w:pPr>
        <w:widowControl/>
        <w:rPr>
          <w:rFonts w:ascii="宋体" w:hAnsi="宋体" w:cs="宋体"/>
          <w:color w:val="000000"/>
          <w:kern w:val="0"/>
          <w:sz w:val="84"/>
          <w:szCs w:val="84"/>
        </w:rPr>
      </w:pPr>
    </w:p>
    <w:p>
      <w:pPr>
        <w:pStyle w:val="2"/>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 </w:t>
      </w:r>
      <w:r>
        <w:rPr>
          <w:rFonts w:hint="eastAsia" w:ascii="宋体" w:hAnsi="宋体"/>
          <w:kern w:val="0"/>
          <w:szCs w:val="21"/>
          <w:u w:val="single"/>
        </w:rPr>
        <w:t>       </w:t>
      </w:r>
      <w:r>
        <w:rPr>
          <w:rFonts w:hint="eastAsia" w:ascii="宋体" w:hAnsi="宋体"/>
          <w:kern w:val="0"/>
          <w:szCs w:val="21"/>
        </w:rPr>
        <w:t>（项目编号）投标邀请，正式授权下述签字人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 xml:space="preserve">按招标要求，我们的投标报价为 </w:t>
      </w:r>
      <w:r>
        <w:rPr>
          <w:rFonts w:hint="eastAsia" w:ascii="宋体" w:hAnsi="宋体"/>
          <w:kern w:val="0"/>
          <w:szCs w:val="21"/>
          <w:u w:val="single"/>
        </w:rPr>
        <w:t xml:space="preserve">        </w:t>
      </w:r>
      <w:r>
        <w:rPr>
          <w:rFonts w:hint="eastAsia" w:ascii="宋体" w:hAnsi="宋体"/>
          <w:kern w:val="0"/>
          <w:szCs w:val="21"/>
        </w:rPr>
        <w:t>元人民币。</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 xml:space="preserve">  满足招标文件要求  </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r>
        <w:rPr>
          <w:rFonts w:hint="eastAsia" w:ascii="宋体" w:hAnsi="宋体" w:cs="宋体"/>
          <w:color w:val="000000"/>
          <w:kern w:val="0"/>
          <w:sz w:val="36"/>
          <w:szCs w:val="36"/>
        </w:rPr>
        <w:t xml:space="preserve">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w:t>
      </w:r>
    </w:p>
    <w:p>
      <w:pPr>
        <w:jc w:val="center"/>
        <w:rPr>
          <w:b/>
          <w:bCs/>
          <w:sz w:val="28"/>
          <w:szCs w:val="28"/>
        </w:rPr>
      </w:pPr>
      <w:r>
        <w:rPr>
          <w:rFonts w:hint="eastAsia"/>
          <w:b/>
          <w:bCs/>
          <w:sz w:val="28"/>
          <w:szCs w:val="28"/>
        </w:rPr>
        <w:t>报价单</w:t>
      </w:r>
    </w:p>
    <w:tbl>
      <w:tblPr>
        <w:tblStyle w:val="9"/>
        <w:tblW w:w="4999" w:type="pct"/>
        <w:tblInd w:w="0" w:type="dxa"/>
        <w:tblLayout w:type="autofit"/>
        <w:tblCellMar>
          <w:top w:w="0" w:type="dxa"/>
          <w:left w:w="0" w:type="dxa"/>
          <w:bottom w:w="0" w:type="dxa"/>
          <w:right w:w="0" w:type="dxa"/>
        </w:tblCellMar>
      </w:tblPr>
      <w:tblGrid>
        <w:gridCol w:w="1779"/>
        <w:gridCol w:w="2264"/>
        <w:gridCol w:w="4291"/>
      </w:tblGrid>
      <w:tr>
        <w:tblPrEx>
          <w:tblCellMar>
            <w:top w:w="0" w:type="dxa"/>
            <w:left w:w="0" w:type="dxa"/>
            <w:bottom w:w="0" w:type="dxa"/>
            <w:right w:w="0" w:type="dxa"/>
          </w:tblCellMar>
        </w:tblPrEx>
        <w:trPr>
          <w:trHeight w:val="734" w:hRule="atLeast"/>
        </w:trPr>
        <w:tc>
          <w:tcPr>
            <w:tcW w:w="1067" w:type="pct"/>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358"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hAnsi="微软雅黑" w:eastAsia="微软雅黑"/>
                <w:kern w:val="0"/>
                <w:sz w:val="22"/>
                <w:szCs w:val="22"/>
              </w:rPr>
            </w:pPr>
            <w:r>
              <w:rPr>
                <w:rFonts w:hAnsi="微软雅黑" w:eastAsia="微软雅黑"/>
                <w:kern w:val="0"/>
                <w:sz w:val="22"/>
                <w:szCs w:val="22"/>
              </w:rPr>
              <w:t>报价要求</w:t>
            </w:r>
          </w:p>
        </w:tc>
        <w:tc>
          <w:tcPr>
            <w:tcW w:w="2574"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855"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spacing w:line="360" w:lineRule="auto"/>
              <w:ind w:firstLine="0" w:firstLineChars="0"/>
              <w:jc w:val="center"/>
              <w:rPr>
                <w:rFonts w:ascii="Times New Roman" w:hAnsi="Times New Roman" w:eastAsia="微软雅黑"/>
                <w:kern w:val="0"/>
                <w:sz w:val="22"/>
              </w:rPr>
            </w:pP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940"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pStyle w:val="2"/>
        <w:ind w:firstLine="42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r>
        <w:rPr>
          <w:rFonts w:hint="eastAsia" w:ascii="宋体" w:hAnsi="宋体" w:cs="宋体"/>
          <w:color w:val="000000"/>
          <w:kern w:val="0"/>
          <w:szCs w:val="21"/>
        </w:rPr>
        <w:t xml:space="preserve"> </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附件七、商务条款偏离表格式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r>
        <w:rPr>
          <w:rFonts w:hint="eastAsia" w:ascii="宋体" w:hAnsi="宋体" w:cs="宋体"/>
          <w:color w:val="000000"/>
          <w:kern w:val="0"/>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r>
        <w:rPr>
          <w:rFonts w:hint="eastAsia" w:ascii="宋体" w:hAnsi="宋体" w:cs="宋体"/>
          <w:color w:val="000000"/>
          <w:kern w:val="0"/>
          <w:szCs w:val="21"/>
        </w:rPr>
        <w:t xml:space="preserve"> </w:t>
      </w: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widowControl/>
        <w:jc w:val="left"/>
        <w:rPr>
          <w:rFonts w:ascii="宋体" w:hAnsi="宋体" w:cs="宋体"/>
          <w:b/>
          <w:color w:val="000000"/>
          <w:kern w:val="0"/>
          <w:szCs w:val="21"/>
        </w:rPr>
      </w:pPr>
    </w:p>
    <w:p>
      <w:pPr>
        <w:widowControl/>
        <w:jc w:val="left"/>
      </w:pPr>
      <w:r>
        <w:rPr>
          <w:rFonts w:hint="eastAsia" w:ascii="宋体" w:hAnsi="宋体" w:cs="宋体"/>
          <w:b/>
          <w:bCs/>
          <w:color w:val="000000"/>
          <w:kern w:val="0"/>
          <w:sz w:val="28"/>
          <w:szCs w:val="28"/>
        </w:rPr>
        <w:t xml:space="preserve">附件八、项目实施方案（自拟）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r>
        <w:rPr>
          <w:rFonts w:hint="eastAsia" w:ascii="宋体" w:hAnsi="宋体" w:cs="宋体"/>
          <w:b/>
          <w:color w:val="000000"/>
          <w:kern w:val="0"/>
          <w:szCs w:val="21"/>
        </w:rPr>
        <w:t xml:space="preserve"> </w:t>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附件十一、客户清单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pPr>
              <w:widowControl/>
              <w:jc w:val="left"/>
            </w:pPr>
            <w:r>
              <w:rPr>
                <w:rFonts w:hint="eastAsia" w:ascii="宋体" w:hAnsi="宋体" w:cs="宋体"/>
                <w:b/>
                <w:color w:val="000000"/>
                <w:kern w:val="0"/>
                <w:szCs w:val="21"/>
              </w:rPr>
              <w:t xml:space="preserve">年采购金额 </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left"/>
      </w:pPr>
    </w:p>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right"/>
      </w:pPr>
      <w:r>
        <w:rPr>
          <w:rFonts w:hint="eastAsia" w:ascii="宋体" w:hAnsi="宋体" w:cs="宋体"/>
          <w:color w:val="000000"/>
          <w:kern w:val="0"/>
          <w:szCs w:val="21"/>
        </w:rPr>
        <w:t xml:space="preserve">供应商名称： （盖章） </w:t>
      </w:r>
    </w:p>
    <w:p>
      <w:pPr>
        <w:widowControl/>
        <w:jc w:val="left"/>
      </w:pPr>
      <w:r>
        <w:rPr>
          <w:rFonts w:hint="eastAsia" w:ascii="宋体" w:hAnsi="宋体" w:cs="宋体"/>
          <w:color w:val="000000"/>
          <w:kern w:val="0"/>
          <w:szCs w:val="21"/>
        </w:rPr>
        <w:t xml:space="preserve">说明： </w:t>
      </w:r>
    </w:p>
    <w:p>
      <w:pPr>
        <w:widowControl/>
        <w:jc w:val="left"/>
      </w:pPr>
      <w:r>
        <w:rPr>
          <w:rFonts w:hint="eastAsia" w:ascii="宋体" w:hAnsi="宋体" w:cs="宋体"/>
          <w:color w:val="000000"/>
          <w:kern w:val="0"/>
          <w:szCs w:val="21"/>
        </w:rPr>
        <w:t xml:space="preserve">1、此表为表样，行数可自行添加，但表式不变。 </w:t>
      </w:r>
    </w:p>
    <w:p>
      <w:pPr>
        <w:widowControl/>
        <w:jc w:val="left"/>
      </w:pPr>
      <w:r>
        <w:rPr>
          <w:rFonts w:hint="eastAsia" w:ascii="宋体" w:hAnsi="宋体" w:cs="宋体"/>
          <w:color w:val="000000"/>
          <w:kern w:val="0"/>
          <w:szCs w:val="21"/>
        </w:rPr>
        <w:t>2、证明材料按磋商文件要求按序作为本表附页附后。</w:t>
      </w:r>
    </w:p>
    <w:p>
      <w:pPr>
        <w:pStyle w:val="2"/>
        <w:ind w:firstLine="420"/>
        <w:rPr>
          <w:rFonts w:ascii="宋体" w:hAnsi="宋体" w:cs="宋体"/>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附件十二、</w:t>
      </w:r>
      <w:r>
        <w:rPr>
          <w:rFonts w:hint="eastAsia" w:ascii="宋体" w:hAnsi="宋体" w:cs="宋体"/>
          <w:b/>
          <w:color w:val="000000"/>
          <w:kern w:val="0"/>
          <w:sz w:val="31"/>
          <w:szCs w:val="31"/>
        </w:rPr>
        <w:t>供应商资格证明材料</w:t>
      </w:r>
      <w:r>
        <w:rPr>
          <w:rFonts w:ascii="DengXian-Light" w:hAnsi="DengXian-Light" w:eastAsia="DengXian-Light" w:cs="DengXian-Light"/>
          <w:b/>
          <w:color w:val="000000"/>
          <w:kern w:val="0"/>
          <w:sz w:val="31"/>
          <w:szCs w:val="31"/>
        </w:rPr>
        <w:t xml:space="preserve"> </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widowControl/>
        <w:jc w:val="left"/>
      </w:pPr>
      <w:r>
        <w:rPr>
          <w:rFonts w:hint="eastAsia" w:ascii="宋体" w:hAnsi="宋体" w:cs="宋体"/>
          <w:b/>
          <w:color w:val="000000"/>
          <w:kern w:val="0"/>
          <w:sz w:val="28"/>
          <w:szCs w:val="28"/>
        </w:rPr>
        <w:t xml:space="preserve">1、法人、其他组织的营业执照，自然人的身份证明复印件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 xml:space="preserve">我单位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（供应商名称）郑重声明： </w:t>
      </w:r>
    </w:p>
    <w:p>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（在下划线上如实填写：有或没有）重大违法记录。 </w:t>
      </w:r>
    </w:p>
    <w:p>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pPr>
        <w:widowControl/>
        <w:spacing w:line="360" w:lineRule="auto"/>
        <w:ind w:firstLine="420" w:firstLineChars="200"/>
        <w:jc w:val="right"/>
      </w:pPr>
      <w:r>
        <w:rPr>
          <w:rFonts w:hint="eastAsia" w:ascii="宋体" w:hAnsi="宋体" w:cs="宋体"/>
          <w:color w:val="000000"/>
          <w:kern w:val="0"/>
          <w:szCs w:val="21"/>
        </w:rPr>
        <w:t xml:space="preserve">年 月 日 </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DengXian-Ligh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CB6FE9A0"/>
    <w:multiLevelType w:val="singleLevel"/>
    <w:tmpl w:val="CB6FE9A0"/>
    <w:lvl w:ilvl="0" w:tentative="0">
      <w:start w:val="1"/>
      <w:numFmt w:val="decimal"/>
      <w:suff w:val="nothing"/>
      <w:lvlText w:val="%1、"/>
      <w:lvlJc w:val="left"/>
      <w:pPr>
        <w:ind w:left="840" w:firstLine="0"/>
      </w:pPr>
    </w:lvl>
  </w:abstractNum>
  <w:abstractNum w:abstractNumId="2">
    <w:nsid w:val="D6DB556E"/>
    <w:multiLevelType w:val="singleLevel"/>
    <w:tmpl w:val="D6DB556E"/>
    <w:lvl w:ilvl="0" w:tentative="0">
      <w:start w:val="3"/>
      <w:numFmt w:val="decimal"/>
      <w:suff w:val="nothing"/>
      <w:lvlText w:val="（%1）"/>
      <w:lvlJc w:val="left"/>
    </w:lvl>
  </w:abstractNum>
  <w:abstractNum w:abstractNumId="3">
    <w:nsid w:val="DB9BE014"/>
    <w:multiLevelType w:val="singleLevel"/>
    <w:tmpl w:val="DB9BE014"/>
    <w:lvl w:ilvl="0" w:tentative="0">
      <w:start w:val="4"/>
      <w:numFmt w:val="chineseCounting"/>
      <w:suff w:val="nothing"/>
      <w:lvlText w:val="%1、"/>
      <w:lvlJc w:val="left"/>
      <w:rPr>
        <w:rFonts w:hint="eastAsia"/>
      </w:rPr>
    </w:lvl>
  </w:abstractNum>
  <w:abstractNum w:abstractNumId="4">
    <w:nsid w:val="041BBCFB"/>
    <w:multiLevelType w:val="singleLevel"/>
    <w:tmpl w:val="041BBCFB"/>
    <w:lvl w:ilvl="0" w:tentative="0">
      <w:start w:val="1"/>
      <w:numFmt w:val="decimal"/>
      <w:lvlText w:val="(%1)"/>
      <w:lvlJc w:val="left"/>
      <w:pPr>
        <w:ind w:left="425" w:hanging="425"/>
      </w:pPr>
      <w:rPr>
        <w:rFonts w:hint="default"/>
      </w:rPr>
    </w:lvl>
  </w:abstractNum>
  <w:abstractNum w:abstractNumId="5">
    <w:nsid w:val="166B97A1"/>
    <w:multiLevelType w:val="singleLevel"/>
    <w:tmpl w:val="166B97A1"/>
    <w:lvl w:ilvl="0" w:tentative="0">
      <w:start w:val="2"/>
      <w:numFmt w:val="chineseCounting"/>
      <w:suff w:val="nothing"/>
      <w:lvlText w:val="%1、"/>
      <w:lvlJc w:val="left"/>
      <w:rPr>
        <w:rFonts w:hint="eastAsia"/>
      </w:rPr>
    </w:lvl>
  </w:abstractNum>
  <w:abstractNum w:abstractNumId="6">
    <w:nsid w:val="181D9A65"/>
    <w:multiLevelType w:val="singleLevel"/>
    <w:tmpl w:val="181D9A65"/>
    <w:lvl w:ilvl="0" w:tentative="0">
      <w:start w:val="1"/>
      <w:numFmt w:val="chineseCounting"/>
      <w:suff w:val="nothing"/>
      <w:lvlText w:val="%1、"/>
      <w:lvlJc w:val="left"/>
      <w:pPr>
        <w:ind w:left="0" w:firstLine="420"/>
      </w:pPr>
      <w:rPr>
        <w:rFonts w:hint="eastAsia"/>
      </w:rPr>
    </w:lvl>
  </w:abstractNum>
  <w:abstractNum w:abstractNumId="7">
    <w:nsid w:val="5575EDDE"/>
    <w:multiLevelType w:val="singleLevel"/>
    <w:tmpl w:val="5575EDDE"/>
    <w:lvl w:ilvl="0" w:tentative="0">
      <w:start w:val="2"/>
      <w:numFmt w:val="decimal"/>
      <w:suff w:val="nothing"/>
      <w:lvlText w:val="（%1）"/>
      <w:lvlJc w:val="left"/>
    </w:lvl>
  </w:abstractNum>
  <w:abstractNum w:abstractNumId="8">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6"/>
  </w:num>
  <w:num w:numId="2">
    <w:abstractNumId w:val="4"/>
  </w:num>
  <w:num w:numId="3">
    <w:abstractNumId w:val="8"/>
  </w:num>
  <w:num w:numId="4">
    <w:abstractNumId w:val="2"/>
  </w:num>
  <w:num w:numId="5">
    <w:abstractNumId w:val="0"/>
  </w:num>
  <w:num w:numId="6">
    <w:abstractNumId w:val="3"/>
  </w:num>
  <w:num w:numId="7">
    <w:abstractNumId w:val="7"/>
  </w:num>
  <w:num w:numId="8">
    <w:abstractNumId w:val="5"/>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F5ED1"/>
    <w:rsid w:val="00197130"/>
    <w:rsid w:val="00237F8C"/>
    <w:rsid w:val="00475EC5"/>
    <w:rsid w:val="008446E8"/>
    <w:rsid w:val="00984667"/>
    <w:rsid w:val="00AE11EA"/>
    <w:rsid w:val="00B87B06"/>
    <w:rsid w:val="00BE0950"/>
    <w:rsid w:val="00C72C7E"/>
    <w:rsid w:val="00E76238"/>
    <w:rsid w:val="00E9301D"/>
    <w:rsid w:val="00EB4981"/>
    <w:rsid w:val="00FF4CF4"/>
    <w:rsid w:val="0DC36DC7"/>
    <w:rsid w:val="24BA3033"/>
    <w:rsid w:val="41D70653"/>
    <w:rsid w:val="605F5ED1"/>
    <w:rsid w:val="61F36152"/>
    <w:rsid w:val="6E8350E5"/>
    <w:rsid w:val="7A126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Indent"/>
    <w:basedOn w:val="1"/>
    <w:qFormat/>
    <w:uiPriority w:val="0"/>
    <w:pPr>
      <w:ind w:firstLine="420"/>
    </w:pPr>
    <w:rPr>
      <w:b/>
      <w:sz w:val="24"/>
    </w:rPr>
  </w:style>
  <w:style w:type="paragraph" w:styleId="4">
    <w:name w:val="annotation text"/>
    <w:basedOn w:val="1"/>
    <w:qFormat/>
    <w:uiPriority w:val="0"/>
    <w:pPr>
      <w:jc w:val="left"/>
    </w:pPr>
  </w:style>
  <w:style w:type="paragraph" w:styleId="5">
    <w:name w:val="Block Text"/>
    <w:basedOn w:val="1"/>
    <w:qFormat/>
    <w:uiPriority w:val="0"/>
    <w:pPr>
      <w:spacing w:after="120"/>
      <w:ind w:left="1440" w:leftChars="700" w:right="1440" w:rightChars="700"/>
    </w:pPr>
    <w:rPr>
      <w:sz w:val="24"/>
      <w:szCs w:val="24"/>
    </w:r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paragraph" w:styleId="13">
    <w:name w:val="List Paragraph"/>
    <w:basedOn w:val="1"/>
    <w:qFormat/>
    <w:uiPriority w:val="34"/>
    <w:pPr>
      <w:ind w:firstLine="420" w:firstLineChars="200"/>
    </w:pPr>
    <w:rPr>
      <w:rFonts w:ascii="Calibri" w:hAnsi="Calibri"/>
    </w:rPr>
  </w:style>
  <w:style w:type="character" w:customStyle="1" w:styleId="14">
    <w:name w:val="页眉 Char"/>
    <w:basedOn w:val="11"/>
    <w:link w:val="8"/>
    <w:qFormat/>
    <w:uiPriority w:val="0"/>
    <w:rPr>
      <w:rFonts w:ascii="Times New Roman" w:hAnsi="Times New Roman" w:eastAsia="宋体" w:cs="Times New Roman"/>
      <w:kern w:val="2"/>
      <w:sz w:val="18"/>
      <w:szCs w:val="18"/>
    </w:rPr>
  </w:style>
  <w:style w:type="character" w:customStyle="1" w:styleId="15">
    <w:name w:val="批注框文本 Char"/>
    <w:basedOn w:val="11"/>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1053</Words>
  <Characters>6007</Characters>
  <Lines>50</Lines>
  <Paragraphs>14</Paragraphs>
  <TotalTime>36</TotalTime>
  <ScaleCrop>false</ScaleCrop>
  <LinksUpToDate>false</LinksUpToDate>
  <CharactersWithSpaces>7046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2021-05-19T03:47:00Z</dcterms:created>
  <dc:creator>旖旎</dc:creator>
  <cp:lastModifiedBy>旖旎</cp:lastModifiedBy>
  <cp:lastPrinted>2021-05-20T07:16:00Z</cp:lastPrinted>
  <dcterms:modified xsi:type="dcterms:W3CDTF">2021-05-21T07:22:23Z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3B547773ED7B4CCD8D19CE34B02F0E1E</vt:lpwstr>
  </property>
</Properties>
</file>