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color w:val="000000"/>
          <w:sz w:val="44"/>
          <w:szCs w:val="44"/>
        </w:rPr>
      </w:pPr>
    </w:p>
    <w:p>
      <w:pPr>
        <w:spacing w:line="360" w:lineRule="auto"/>
        <w:jc w:val="center"/>
        <w:rPr>
          <w:rFonts w:eastAsia="黑体"/>
          <w:b/>
          <w:bCs/>
          <w:sz w:val="56"/>
          <w:szCs w:val="56"/>
        </w:rPr>
      </w:pPr>
      <w:r>
        <w:rPr>
          <w:rFonts w:hint="eastAsia" w:eastAsia="黑体"/>
          <w:b/>
          <w:bCs/>
          <w:sz w:val="56"/>
          <w:szCs w:val="56"/>
        </w:rPr>
        <w:t>《南京市疾病负担研究与决策支持集成平台》租用服务</w:t>
      </w:r>
      <w:r>
        <w:rPr>
          <w:rFonts w:eastAsia="黑体"/>
          <w:b/>
          <w:bCs/>
          <w:sz w:val="56"/>
          <w:szCs w:val="56"/>
        </w:rPr>
        <w:t>项目</w:t>
      </w:r>
    </w:p>
    <w:p>
      <w:pPr>
        <w:spacing w:line="360" w:lineRule="auto"/>
        <w:jc w:val="center"/>
        <w:rPr>
          <w:sz w:val="28"/>
          <w:szCs w:val="28"/>
        </w:rPr>
      </w:pPr>
    </w:p>
    <w:p>
      <w:pPr>
        <w:spacing w:line="360" w:lineRule="auto"/>
        <w:jc w:val="center"/>
        <w:rPr>
          <w:sz w:val="28"/>
          <w:szCs w:val="28"/>
        </w:rPr>
      </w:pPr>
    </w:p>
    <w:p>
      <w:pPr>
        <w:spacing w:line="360" w:lineRule="auto"/>
        <w:jc w:val="center"/>
        <w:rPr>
          <w:sz w:val="24"/>
        </w:rPr>
      </w:pPr>
    </w:p>
    <w:p>
      <w:pPr>
        <w:spacing w:line="360" w:lineRule="auto"/>
        <w:jc w:val="center"/>
        <w:rPr>
          <w:sz w:val="24"/>
        </w:rPr>
      </w:pPr>
    </w:p>
    <w:p>
      <w:pPr>
        <w:spacing w:line="360" w:lineRule="auto"/>
        <w:rPr>
          <w:sz w:val="24"/>
        </w:rPr>
      </w:pPr>
    </w:p>
    <w:p>
      <w:pPr>
        <w:spacing w:line="360" w:lineRule="auto"/>
        <w:rPr>
          <w:sz w:val="24"/>
        </w:rPr>
      </w:pPr>
    </w:p>
    <w:p>
      <w:pPr>
        <w:spacing w:line="360" w:lineRule="auto"/>
        <w:jc w:val="center"/>
        <w:rPr>
          <w:sz w:val="24"/>
        </w:rPr>
      </w:pPr>
    </w:p>
    <w:p>
      <w:pPr>
        <w:spacing w:line="360" w:lineRule="auto"/>
        <w:jc w:val="center"/>
        <w:rPr>
          <w:sz w:val="28"/>
          <w:szCs w:val="28"/>
        </w:rPr>
      </w:pPr>
    </w:p>
    <w:p>
      <w:pPr>
        <w:spacing w:line="360" w:lineRule="auto"/>
        <w:jc w:val="center"/>
        <w:rPr>
          <w:sz w:val="44"/>
          <w:szCs w:val="44"/>
        </w:rPr>
      </w:pPr>
      <w:r>
        <w:rPr>
          <w:sz w:val="44"/>
          <w:szCs w:val="44"/>
        </w:rPr>
        <w:t>招标文件</w:t>
      </w:r>
    </w:p>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p>
    <w:p>
      <w:pPr>
        <w:spacing w:line="360" w:lineRule="auto"/>
        <w:jc w:val="center"/>
        <w:rPr>
          <w:sz w:val="24"/>
        </w:rPr>
      </w:pPr>
    </w:p>
    <w:p>
      <w:pPr>
        <w:spacing w:line="360" w:lineRule="auto"/>
        <w:jc w:val="center"/>
        <w:rPr>
          <w:sz w:val="24"/>
        </w:rPr>
      </w:pPr>
    </w:p>
    <w:p>
      <w:pPr>
        <w:spacing w:line="360" w:lineRule="auto"/>
        <w:jc w:val="center"/>
        <w:rPr>
          <w:sz w:val="28"/>
          <w:szCs w:val="28"/>
        </w:rPr>
      </w:pPr>
      <w:r>
        <w:rPr>
          <w:sz w:val="28"/>
          <w:szCs w:val="28"/>
        </w:rPr>
        <w:t>南京市疾病预防控制中心</w:t>
      </w:r>
    </w:p>
    <w:p>
      <w:pPr>
        <w:spacing w:line="360" w:lineRule="auto"/>
        <w:jc w:val="center"/>
        <w:rPr>
          <w:sz w:val="28"/>
          <w:szCs w:val="28"/>
        </w:rPr>
      </w:pPr>
      <w:r>
        <w:rPr>
          <w:rFonts w:hint="eastAsia"/>
          <w:sz w:val="28"/>
          <w:szCs w:val="28"/>
        </w:rPr>
        <w:t>2020年12月2日</w:t>
      </w:r>
    </w:p>
    <w:p>
      <w:pPr>
        <w:spacing w:line="360" w:lineRule="auto"/>
        <w:jc w:val="center"/>
        <w:rPr>
          <w:sz w:val="28"/>
          <w:szCs w:val="28"/>
        </w:rPr>
      </w:pPr>
    </w:p>
    <w:p>
      <w:pPr>
        <w:spacing w:line="360" w:lineRule="auto"/>
        <w:jc w:val="center"/>
        <w:rPr>
          <w:sz w:val="28"/>
          <w:szCs w:val="28"/>
        </w:rPr>
      </w:pPr>
    </w:p>
    <w:p>
      <w:pPr>
        <w:pStyle w:val="12"/>
        <w:numPr>
          <w:ilvl w:val="0"/>
          <w:numId w:val="1"/>
        </w:numPr>
        <w:spacing w:line="360" w:lineRule="auto"/>
        <w:ind w:firstLineChars="0"/>
        <w:rPr>
          <w:rFonts w:ascii="Times New Roman" w:hAnsi="Times New Roman" w:eastAsiaTheme="minorEastAsia"/>
          <w:b/>
          <w:sz w:val="24"/>
          <w:szCs w:val="24"/>
        </w:rPr>
      </w:pPr>
      <w:r>
        <w:rPr>
          <w:rFonts w:ascii="Times New Roman" w:hAnsi="Times New Roman" w:eastAsiaTheme="minorEastAsia"/>
          <w:b/>
          <w:sz w:val="24"/>
          <w:szCs w:val="24"/>
        </w:rPr>
        <w:t>项目基本情况</w:t>
      </w:r>
    </w:p>
    <w:p>
      <w:pPr>
        <w:spacing w:line="360" w:lineRule="auto"/>
        <w:ind w:firstLine="480" w:firstLineChars="200"/>
        <w:rPr>
          <w:rFonts w:eastAsiaTheme="minorEastAsia"/>
          <w:sz w:val="24"/>
          <w:szCs w:val="24"/>
        </w:rPr>
      </w:pPr>
      <w:r>
        <w:rPr>
          <w:rFonts w:eastAsiaTheme="minorEastAsia"/>
          <w:sz w:val="24"/>
          <w:szCs w:val="24"/>
        </w:rPr>
        <w:t>1、项目名称：</w:t>
      </w:r>
      <w:r>
        <w:rPr>
          <w:rFonts w:hint="eastAsia" w:eastAsiaTheme="minorEastAsia"/>
          <w:sz w:val="24"/>
          <w:szCs w:val="24"/>
        </w:rPr>
        <w:t>《南京市疾病负担研究与决策支持集成平台》租用服务</w:t>
      </w:r>
      <w:r>
        <w:rPr>
          <w:rFonts w:eastAsiaTheme="minorEastAsia"/>
          <w:sz w:val="24"/>
          <w:szCs w:val="24"/>
        </w:rPr>
        <w:t>项目</w:t>
      </w:r>
    </w:p>
    <w:p>
      <w:pPr>
        <w:spacing w:line="360" w:lineRule="auto"/>
        <w:ind w:firstLine="480" w:firstLineChars="200"/>
        <w:rPr>
          <w:rFonts w:eastAsiaTheme="minorEastAsia"/>
          <w:sz w:val="24"/>
          <w:szCs w:val="24"/>
        </w:rPr>
      </w:pPr>
      <w:r>
        <w:rPr>
          <w:rFonts w:eastAsiaTheme="minorEastAsia"/>
          <w:sz w:val="24"/>
          <w:szCs w:val="24"/>
        </w:rPr>
        <w:t>2、预算金额：人民币9</w:t>
      </w:r>
      <w:r>
        <w:rPr>
          <w:rFonts w:hint="eastAsia" w:eastAsiaTheme="minorEastAsia"/>
          <w:sz w:val="24"/>
          <w:szCs w:val="24"/>
        </w:rPr>
        <w:t>.8</w:t>
      </w:r>
      <w:r>
        <w:rPr>
          <w:rFonts w:eastAsiaTheme="minorEastAsia"/>
          <w:sz w:val="24"/>
          <w:szCs w:val="24"/>
        </w:rPr>
        <w:t>万元</w:t>
      </w:r>
    </w:p>
    <w:p>
      <w:pPr>
        <w:spacing w:line="360" w:lineRule="auto"/>
        <w:ind w:firstLine="480" w:firstLineChars="200"/>
        <w:rPr>
          <w:rFonts w:eastAsiaTheme="minorEastAsia"/>
          <w:sz w:val="24"/>
          <w:szCs w:val="24"/>
        </w:rPr>
      </w:pPr>
      <w:r>
        <w:rPr>
          <w:rFonts w:eastAsiaTheme="minorEastAsia"/>
          <w:sz w:val="24"/>
          <w:szCs w:val="24"/>
        </w:rPr>
        <w:t>3、采购需求：中心拟租用的</w:t>
      </w:r>
      <w:r>
        <w:rPr>
          <w:rFonts w:hint="eastAsia" w:eastAsiaTheme="minorEastAsia"/>
          <w:sz w:val="24"/>
          <w:szCs w:val="24"/>
        </w:rPr>
        <w:t>本平台能实现死因数据本地化管理，开展多元化的数据分析，来满足个性化的需求；实现全市每年死因监测数据查重、整理、分析与利用；建立全市慢性病监测数据共享机制和预警平台，实现慢病疾病负担研究方法的技术推广和研究结果的政策转化，为政府制定卫生政策、合理分配卫生资源、优化资源配置提供决策依据。</w:t>
      </w:r>
      <w:r>
        <w:rPr>
          <w:rFonts w:eastAsiaTheme="minorEastAsia"/>
          <w:sz w:val="24"/>
          <w:szCs w:val="24"/>
        </w:rPr>
        <w:t>租赁期为12个月。</w:t>
      </w:r>
    </w:p>
    <w:p>
      <w:pPr>
        <w:spacing w:line="360" w:lineRule="auto"/>
        <w:ind w:firstLine="480" w:firstLineChars="200"/>
        <w:rPr>
          <w:sz w:val="24"/>
          <w:szCs w:val="24"/>
        </w:rPr>
      </w:pPr>
      <w:r>
        <w:rPr>
          <w:rFonts w:hint="eastAsia" w:eastAsiaTheme="minorEastAsia"/>
          <w:sz w:val="24"/>
          <w:szCs w:val="24"/>
        </w:rPr>
        <w:t>4、</w:t>
      </w:r>
      <w:r>
        <w:rPr>
          <w:rFonts w:hAnsiTheme="minorEastAsia"/>
          <w:sz w:val="24"/>
          <w:szCs w:val="24"/>
        </w:rPr>
        <w:t>本项目以符合要求，单价报价最低的原则确定成交供应商（若报价相同的，</w:t>
      </w:r>
      <w:r>
        <w:rPr>
          <w:rFonts w:hAnsiTheme="minorEastAsia"/>
          <w:sz w:val="24"/>
        </w:rPr>
        <w:t>考虑售后服务、交货期、投标人所售产品的用户反映等各方面因素，进行</w:t>
      </w:r>
      <w:r>
        <w:rPr>
          <w:rFonts w:hAnsiTheme="minorEastAsia"/>
          <w:sz w:val="24"/>
          <w:szCs w:val="24"/>
        </w:rPr>
        <w:t>综合择优确定）。欢迎符合资格条件的供应商参加。</w:t>
      </w:r>
    </w:p>
    <w:p>
      <w:pPr>
        <w:pStyle w:val="12"/>
        <w:numPr>
          <w:ilvl w:val="0"/>
          <w:numId w:val="1"/>
        </w:numPr>
        <w:spacing w:line="360" w:lineRule="auto"/>
        <w:ind w:firstLineChars="0"/>
        <w:rPr>
          <w:rFonts w:ascii="Times New Roman" w:hAnsi="Times New Roman" w:eastAsiaTheme="minorEastAsia"/>
          <w:b/>
          <w:sz w:val="24"/>
          <w:szCs w:val="24"/>
        </w:rPr>
      </w:pPr>
      <w:r>
        <w:rPr>
          <w:rFonts w:ascii="Times New Roman" w:hAnsi="Times New Roman" w:eastAsiaTheme="minorEastAsia"/>
          <w:b/>
          <w:sz w:val="24"/>
          <w:szCs w:val="24"/>
        </w:rPr>
        <w:t>招标内容</w:t>
      </w:r>
    </w:p>
    <w:p>
      <w:pPr>
        <w:spacing w:line="360" w:lineRule="auto"/>
        <w:ind w:firstLine="482" w:firstLineChars="200"/>
        <w:rPr>
          <w:rFonts w:eastAsiaTheme="minorEastAsia"/>
          <w:b/>
          <w:color w:val="000000" w:themeColor="text1"/>
          <w:sz w:val="24"/>
          <w:szCs w:val="24"/>
        </w:rPr>
      </w:pPr>
      <w:r>
        <w:rPr>
          <w:rFonts w:eastAsiaTheme="minorEastAsia"/>
          <w:b/>
          <w:color w:val="000000" w:themeColor="text1"/>
          <w:sz w:val="24"/>
          <w:szCs w:val="24"/>
        </w:rPr>
        <w:t>（一）数据平台</w:t>
      </w:r>
      <w:r>
        <w:rPr>
          <w:rFonts w:hint="eastAsia" w:eastAsiaTheme="minorEastAsia"/>
          <w:b/>
          <w:color w:val="000000" w:themeColor="text1"/>
          <w:sz w:val="24"/>
          <w:szCs w:val="24"/>
        </w:rPr>
        <w:t>要求</w:t>
      </w:r>
    </w:p>
    <w:p>
      <w:pPr>
        <w:spacing w:line="360" w:lineRule="auto"/>
        <w:ind w:firstLine="480" w:firstLineChars="200"/>
        <w:rPr>
          <w:rFonts w:eastAsiaTheme="minorEastAsia"/>
          <w:sz w:val="24"/>
          <w:szCs w:val="24"/>
        </w:rPr>
      </w:pPr>
      <w:r>
        <w:rPr>
          <w:rFonts w:hint="eastAsia" w:eastAsiaTheme="minorEastAsia"/>
          <w:sz w:val="24"/>
          <w:szCs w:val="24"/>
        </w:rPr>
        <w:t>1、数据来源</w:t>
      </w:r>
    </w:p>
    <w:p>
      <w:pPr>
        <w:spacing w:line="360" w:lineRule="auto"/>
        <w:ind w:firstLine="480" w:firstLineChars="200"/>
        <w:rPr>
          <w:rFonts w:eastAsiaTheme="minorEastAsia"/>
          <w:sz w:val="24"/>
          <w:szCs w:val="24"/>
        </w:rPr>
      </w:pPr>
      <w:r>
        <w:rPr>
          <w:rFonts w:hint="eastAsia" w:eastAsiaTheme="minorEastAsia"/>
          <w:sz w:val="24"/>
          <w:szCs w:val="24"/>
        </w:rPr>
        <w:t>（1）导入模板下载</w:t>
      </w:r>
    </w:p>
    <w:p>
      <w:pPr>
        <w:spacing w:line="360" w:lineRule="auto"/>
        <w:ind w:firstLine="480" w:firstLineChars="200"/>
        <w:rPr>
          <w:rFonts w:eastAsiaTheme="minorEastAsia"/>
          <w:sz w:val="24"/>
          <w:szCs w:val="24"/>
        </w:rPr>
      </w:pPr>
      <w:r>
        <w:rPr>
          <w:rFonts w:hint="eastAsia" w:eastAsiaTheme="minorEastAsia"/>
          <w:sz w:val="24"/>
          <w:szCs w:val="24"/>
        </w:rPr>
        <w:t>提供用户用于下载导入所需的模板，以及模板使用的说明。规范用户进行数据导入操作。</w:t>
      </w:r>
    </w:p>
    <w:p>
      <w:pPr>
        <w:spacing w:line="360" w:lineRule="auto"/>
        <w:ind w:firstLine="480" w:firstLineChars="200"/>
        <w:rPr>
          <w:rFonts w:eastAsiaTheme="minorEastAsia"/>
          <w:sz w:val="24"/>
          <w:szCs w:val="24"/>
        </w:rPr>
      </w:pPr>
      <w:r>
        <w:rPr>
          <w:rFonts w:hint="eastAsia" w:eastAsiaTheme="minorEastAsia"/>
          <w:sz w:val="24"/>
          <w:szCs w:val="24"/>
        </w:rPr>
        <w:t>（2）数据导入</w:t>
      </w:r>
    </w:p>
    <w:p>
      <w:pPr>
        <w:spacing w:line="360" w:lineRule="auto"/>
        <w:ind w:firstLine="480" w:firstLineChars="200"/>
        <w:rPr>
          <w:rFonts w:eastAsiaTheme="minorEastAsia"/>
          <w:sz w:val="24"/>
          <w:szCs w:val="24"/>
        </w:rPr>
      </w:pPr>
      <w:r>
        <w:rPr>
          <w:rFonts w:hint="eastAsia" w:eastAsiaTheme="minorEastAsia"/>
          <w:sz w:val="24"/>
          <w:szCs w:val="24"/>
        </w:rPr>
        <w:t>提供按导入模块组织数据后，通过数据导入功能将数据导入到本系统中，实现导入时会按照死因数据规范进行校验，只导入合规的数据，不合规的数据向用户提供统一的展示，并可以进行下载，待修订后再进行导入。</w:t>
      </w:r>
    </w:p>
    <w:p>
      <w:pPr>
        <w:spacing w:line="360" w:lineRule="auto"/>
        <w:ind w:firstLine="480" w:firstLineChars="200"/>
        <w:rPr>
          <w:rFonts w:eastAsiaTheme="minorEastAsia"/>
          <w:sz w:val="24"/>
          <w:szCs w:val="24"/>
        </w:rPr>
      </w:pPr>
      <w:r>
        <w:rPr>
          <w:rFonts w:hint="eastAsia" w:eastAsiaTheme="minorEastAsia"/>
          <w:sz w:val="24"/>
          <w:szCs w:val="24"/>
        </w:rPr>
        <w:t>（3）数据接口下载</w:t>
      </w:r>
    </w:p>
    <w:p>
      <w:pPr>
        <w:spacing w:line="360" w:lineRule="auto"/>
        <w:ind w:firstLine="480" w:firstLineChars="200"/>
        <w:rPr>
          <w:rFonts w:eastAsiaTheme="minorEastAsia"/>
          <w:sz w:val="24"/>
          <w:szCs w:val="24"/>
        </w:rPr>
      </w:pPr>
      <w:r>
        <w:rPr>
          <w:rFonts w:hint="eastAsia" w:eastAsiaTheme="minorEastAsia"/>
          <w:sz w:val="24"/>
          <w:szCs w:val="24"/>
        </w:rPr>
        <w:t>按照省系统的数据下载API的约束要求，实现数据下载功能，每天自动从下载接口下载数据。并将数据保存到本系统中。</w:t>
      </w:r>
    </w:p>
    <w:p>
      <w:pPr>
        <w:spacing w:line="360" w:lineRule="auto"/>
        <w:ind w:firstLine="480" w:firstLineChars="200"/>
        <w:rPr>
          <w:rFonts w:eastAsiaTheme="minorEastAsia"/>
          <w:sz w:val="24"/>
          <w:szCs w:val="24"/>
        </w:rPr>
      </w:pPr>
      <w:r>
        <w:rPr>
          <w:rFonts w:hint="eastAsia" w:eastAsiaTheme="minorEastAsia"/>
          <w:sz w:val="24"/>
          <w:szCs w:val="24"/>
        </w:rPr>
        <w:t>2、数据管理</w:t>
      </w:r>
    </w:p>
    <w:p>
      <w:pPr>
        <w:spacing w:line="360" w:lineRule="auto"/>
        <w:ind w:firstLine="480" w:firstLineChars="200"/>
        <w:rPr>
          <w:rFonts w:eastAsiaTheme="minorEastAsia"/>
          <w:sz w:val="24"/>
          <w:szCs w:val="24"/>
        </w:rPr>
      </w:pPr>
      <w:r>
        <w:rPr>
          <w:rFonts w:hint="eastAsia" w:eastAsiaTheme="minorEastAsia"/>
          <w:sz w:val="24"/>
          <w:szCs w:val="24"/>
        </w:rPr>
        <w:t>展示本系统中所有的死亡信息、无证件卡信息以及无名尸信息。提供信息删除功能，可以对不需要的数据进行清除。</w:t>
      </w:r>
    </w:p>
    <w:p>
      <w:pPr>
        <w:spacing w:line="360" w:lineRule="auto"/>
        <w:ind w:firstLine="480" w:firstLineChars="200"/>
        <w:rPr>
          <w:rFonts w:eastAsiaTheme="minorEastAsia"/>
          <w:sz w:val="24"/>
          <w:szCs w:val="24"/>
        </w:rPr>
      </w:pPr>
      <w:r>
        <w:rPr>
          <w:rFonts w:hint="eastAsia" w:eastAsiaTheme="minorEastAsia"/>
          <w:sz w:val="24"/>
          <w:szCs w:val="24"/>
        </w:rPr>
        <w:t>提供按现住地、户籍地、监测点、姓名、证件号、审核状态、根本死因等条件对本系统中的死亡信息进行筛选，查重功能，具备数据导出功能。</w:t>
      </w:r>
    </w:p>
    <w:p>
      <w:pPr>
        <w:spacing w:line="360" w:lineRule="auto"/>
        <w:ind w:firstLine="480" w:firstLineChars="200"/>
        <w:rPr>
          <w:rFonts w:eastAsiaTheme="minorEastAsia"/>
          <w:sz w:val="24"/>
          <w:szCs w:val="24"/>
        </w:rPr>
      </w:pPr>
      <w:r>
        <w:rPr>
          <w:rFonts w:hint="eastAsia" w:eastAsiaTheme="minorEastAsia"/>
          <w:sz w:val="24"/>
          <w:szCs w:val="24"/>
        </w:rPr>
        <w:t>3、数据分析</w:t>
      </w:r>
    </w:p>
    <w:p>
      <w:pPr>
        <w:spacing w:line="360" w:lineRule="auto"/>
        <w:ind w:firstLine="480" w:firstLineChars="200"/>
        <w:rPr>
          <w:rFonts w:eastAsiaTheme="minorEastAsia"/>
          <w:sz w:val="24"/>
          <w:szCs w:val="24"/>
        </w:rPr>
      </w:pPr>
      <w:r>
        <w:rPr>
          <w:rFonts w:hint="eastAsia" w:eastAsiaTheme="minorEastAsia"/>
          <w:sz w:val="24"/>
          <w:szCs w:val="24"/>
        </w:rPr>
        <w:t>（1）分年龄统计各病种死亡人数</w:t>
      </w:r>
    </w:p>
    <w:p>
      <w:pPr>
        <w:spacing w:line="360" w:lineRule="auto"/>
        <w:ind w:firstLine="480" w:firstLineChars="200"/>
        <w:rPr>
          <w:rFonts w:eastAsiaTheme="minorEastAsia"/>
          <w:sz w:val="24"/>
          <w:szCs w:val="24"/>
        </w:rPr>
      </w:pPr>
      <w:r>
        <w:rPr>
          <w:rFonts w:hint="eastAsia" w:eastAsiaTheme="minorEastAsia"/>
          <w:sz w:val="24"/>
          <w:szCs w:val="24"/>
        </w:rPr>
        <w:t>统计传染病、寄生虫病；肿瘤；血液、造血器官及免疫疾病；内分泌、营养和代谢疾病；精神和行为障碍；神经系统；循环系统疾病；呼吸系统疾病；消化系统疾病；肌肉骨骼和结缔组织疾病；泌尿生殖系统疾病；妊娠、分娩和产褥期并发症；起源于围生期的情况；先天畸形、变形和染色体异常等疾病的各个年龄组的死亡情况。</w:t>
      </w:r>
    </w:p>
    <w:p>
      <w:pPr>
        <w:spacing w:line="360" w:lineRule="auto"/>
        <w:ind w:firstLine="480" w:firstLineChars="200"/>
        <w:rPr>
          <w:rFonts w:eastAsiaTheme="minorEastAsia"/>
          <w:sz w:val="24"/>
          <w:szCs w:val="24"/>
        </w:rPr>
      </w:pPr>
      <w:r>
        <w:rPr>
          <w:rFonts w:hint="eastAsia" w:eastAsiaTheme="minorEastAsia"/>
          <w:sz w:val="24"/>
          <w:szCs w:val="24"/>
        </w:rPr>
        <w:t>（2）分单位统计各病种死亡人数</w:t>
      </w:r>
    </w:p>
    <w:p>
      <w:pPr>
        <w:spacing w:line="360" w:lineRule="auto"/>
        <w:ind w:firstLine="480" w:firstLineChars="200"/>
        <w:rPr>
          <w:rFonts w:eastAsiaTheme="minorEastAsia"/>
          <w:sz w:val="24"/>
          <w:szCs w:val="24"/>
        </w:rPr>
      </w:pPr>
      <w:r>
        <w:rPr>
          <w:rFonts w:hint="eastAsia" w:eastAsiaTheme="minorEastAsia"/>
          <w:sz w:val="24"/>
          <w:szCs w:val="24"/>
        </w:rPr>
        <w:t>统计各单位上报的传染病、寄生虫病；肿瘤；血液、造血器官及免疫疾病；内分泌、营养和代谢疾病；精神和行为障碍；神经系统；循环系统疾病；呼吸系统疾病；消化系统疾病；肌肉骨骼和结缔组织疾病；泌尿生殖系统疾病；妊娠、分娩和产褥期并发症；起源于围生期的情况；先天畸形、变形和染色体异常等疾病的死亡情况。</w:t>
      </w:r>
    </w:p>
    <w:p>
      <w:pPr>
        <w:spacing w:line="360" w:lineRule="auto"/>
        <w:ind w:firstLine="480" w:firstLineChars="200"/>
        <w:rPr>
          <w:rFonts w:eastAsiaTheme="minorEastAsia"/>
          <w:sz w:val="24"/>
          <w:szCs w:val="24"/>
        </w:rPr>
      </w:pPr>
      <w:r>
        <w:rPr>
          <w:rFonts w:hint="eastAsia" w:eastAsiaTheme="minorEastAsia"/>
          <w:sz w:val="24"/>
          <w:szCs w:val="24"/>
        </w:rPr>
        <w:t>（3）分地区儿童死亡定时统计</w:t>
      </w:r>
    </w:p>
    <w:p>
      <w:pPr>
        <w:spacing w:line="360" w:lineRule="auto"/>
        <w:ind w:firstLine="480" w:firstLineChars="200"/>
        <w:rPr>
          <w:rFonts w:eastAsiaTheme="minorEastAsia"/>
          <w:sz w:val="24"/>
          <w:szCs w:val="24"/>
        </w:rPr>
      </w:pPr>
      <w:r>
        <w:rPr>
          <w:rFonts w:hint="eastAsia" w:eastAsiaTheme="minorEastAsia"/>
          <w:sz w:val="24"/>
          <w:szCs w:val="24"/>
        </w:rPr>
        <w:t>统计各区县死亡年龄分别7天以内、28天以内、婴儿、5岁以下的死亡病例情况。</w:t>
      </w:r>
    </w:p>
    <w:p>
      <w:pPr>
        <w:spacing w:line="360" w:lineRule="auto"/>
        <w:ind w:firstLine="480" w:firstLineChars="200"/>
        <w:rPr>
          <w:rFonts w:eastAsiaTheme="minorEastAsia"/>
          <w:sz w:val="24"/>
          <w:szCs w:val="24"/>
        </w:rPr>
      </w:pPr>
      <w:r>
        <w:rPr>
          <w:rFonts w:hint="eastAsia" w:eastAsiaTheme="minorEastAsia"/>
          <w:sz w:val="24"/>
          <w:szCs w:val="24"/>
        </w:rPr>
        <w:t>（4）分地区死因顺位定时统计</w:t>
      </w:r>
    </w:p>
    <w:p>
      <w:pPr>
        <w:spacing w:line="360" w:lineRule="auto"/>
        <w:ind w:firstLine="480" w:firstLineChars="200"/>
        <w:rPr>
          <w:rFonts w:eastAsiaTheme="minorEastAsia"/>
          <w:sz w:val="24"/>
          <w:szCs w:val="24"/>
        </w:rPr>
      </w:pPr>
      <w:r>
        <w:rPr>
          <w:rFonts w:hint="eastAsia" w:eastAsiaTheme="minorEastAsia"/>
          <w:sz w:val="24"/>
          <w:szCs w:val="24"/>
        </w:rPr>
        <w:t>统计各地区传染病、寄生虫病、恶性肿瘤、血液造血免疫疾病、内分泌营养代谢疾病、精神障碍、神经系统疾病、心脏病、脑血管病、呼吸系统疾病、消化系统疾病、肌肉骨骼和结缔组织疾病、泌尿生殖系统疾病、产科疾病、围生期疾病、先天异常、死因不明、伤害等疾病的死亡人数、标化率、死亡率、构成比以及各地区的排名。</w:t>
      </w:r>
    </w:p>
    <w:p>
      <w:pPr>
        <w:spacing w:line="360" w:lineRule="auto"/>
        <w:ind w:firstLine="480" w:firstLineChars="200"/>
        <w:rPr>
          <w:rFonts w:eastAsiaTheme="minorEastAsia"/>
          <w:sz w:val="24"/>
          <w:szCs w:val="24"/>
        </w:rPr>
      </w:pPr>
      <w:r>
        <w:rPr>
          <w:rFonts w:hint="eastAsia" w:eastAsiaTheme="minorEastAsia"/>
          <w:sz w:val="24"/>
          <w:szCs w:val="24"/>
        </w:rPr>
        <w:t>（</w:t>
      </w:r>
      <w:r>
        <w:rPr>
          <w:rFonts w:eastAsiaTheme="minorEastAsia"/>
          <w:sz w:val="24"/>
          <w:szCs w:val="24"/>
        </w:rPr>
        <w:t>5</w:t>
      </w:r>
      <w:r>
        <w:rPr>
          <w:rFonts w:hint="eastAsia" w:eastAsiaTheme="minorEastAsia"/>
          <w:sz w:val="24"/>
          <w:szCs w:val="24"/>
        </w:rPr>
        <w:t>）卫统29-2定时统计报表</w:t>
      </w:r>
    </w:p>
    <w:p>
      <w:pPr>
        <w:spacing w:line="360" w:lineRule="auto"/>
        <w:ind w:firstLine="480" w:firstLineChars="200"/>
        <w:rPr>
          <w:rFonts w:eastAsiaTheme="minorEastAsia"/>
          <w:sz w:val="24"/>
          <w:szCs w:val="24"/>
        </w:rPr>
      </w:pPr>
      <w:r>
        <w:rPr>
          <w:rFonts w:hint="eastAsia" w:eastAsiaTheme="minorEastAsia"/>
          <w:sz w:val="24"/>
          <w:szCs w:val="24"/>
        </w:rPr>
        <w:t>统计传染病、寄生虫病；肿瘤；血液、造血器官及免疫疾病；内分泌、营养和代谢疾病；精神和行为障碍；神经系统；循环系统疾病；呼吸系统疾病；消化系统疾病；肌肉骨骼和结缔组织疾病；泌尿生殖系统疾病；妊娠、分娩和产褥期并发症；起源于围生期的情况；先天畸形、变形和染色体异常等疾病不满一周岁以及一周岁以上的死亡病例情况。</w:t>
      </w:r>
    </w:p>
    <w:p>
      <w:pPr>
        <w:spacing w:line="360" w:lineRule="auto"/>
        <w:ind w:firstLine="480" w:firstLineChars="200"/>
        <w:rPr>
          <w:rFonts w:eastAsiaTheme="minorEastAsia"/>
          <w:sz w:val="24"/>
          <w:szCs w:val="24"/>
        </w:rPr>
      </w:pPr>
      <w:r>
        <w:rPr>
          <w:rFonts w:hint="eastAsia" w:eastAsiaTheme="minorEastAsia"/>
          <w:sz w:val="24"/>
          <w:szCs w:val="24"/>
        </w:rPr>
        <w:t>（</w:t>
      </w:r>
      <w:r>
        <w:rPr>
          <w:rFonts w:eastAsiaTheme="minorEastAsia"/>
          <w:sz w:val="24"/>
          <w:szCs w:val="24"/>
        </w:rPr>
        <w:t>6</w:t>
      </w:r>
      <w:r>
        <w:rPr>
          <w:rFonts w:hint="eastAsia" w:eastAsiaTheme="minorEastAsia"/>
          <w:sz w:val="24"/>
          <w:szCs w:val="24"/>
        </w:rPr>
        <w:t>）GBD160定时统计报表</w:t>
      </w:r>
    </w:p>
    <w:p>
      <w:pPr>
        <w:spacing w:line="360" w:lineRule="auto"/>
        <w:ind w:firstLine="480" w:firstLineChars="200"/>
        <w:rPr>
          <w:rFonts w:eastAsiaTheme="minorEastAsia"/>
          <w:sz w:val="24"/>
          <w:szCs w:val="24"/>
        </w:rPr>
      </w:pPr>
      <w:r>
        <w:rPr>
          <w:rFonts w:hint="eastAsia" w:eastAsiaTheme="minorEastAsia"/>
          <w:sz w:val="24"/>
          <w:szCs w:val="24"/>
        </w:rPr>
        <w:t>按年龄组统计各GBD160分类编码下的死亡病例情况。</w:t>
      </w:r>
    </w:p>
    <w:p>
      <w:pPr>
        <w:spacing w:line="360" w:lineRule="auto"/>
        <w:ind w:firstLine="480" w:firstLineChars="200"/>
        <w:rPr>
          <w:rFonts w:eastAsiaTheme="minorEastAsia"/>
          <w:sz w:val="24"/>
          <w:szCs w:val="24"/>
        </w:rPr>
      </w:pPr>
      <w:r>
        <w:rPr>
          <w:rFonts w:hint="eastAsia" w:eastAsiaTheme="minorEastAsia"/>
          <w:sz w:val="24"/>
          <w:szCs w:val="24"/>
        </w:rPr>
        <w:t>（</w:t>
      </w:r>
      <w:r>
        <w:rPr>
          <w:rFonts w:eastAsiaTheme="minorEastAsia"/>
          <w:sz w:val="24"/>
          <w:szCs w:val="24"/>
        </w:rPr>
        <w:t>7</w:t>
      </w:r>
      <w:r>
        <w:rPr>
          <w:rFonts w:hint="eastAsia" w:eastAsiaTheme="minorEastAsia"/>
          <w:sz w:val="24"/>
          <w:szCs w:val="24"/>
        </w:rPr>
        <w:t>）常规质量分析</w:t>
      </w:r>
    </w:p>
    <w:p>
      <w:pPr>
        <w:spacing w:line="360" w:lineRule="auto"/>
        <w:ind w:firstLine="480" w:firstLineChars="200"/>
        <w:rPr>
          <w:rFonts w:eastAsiaTheme="minorEastAsia"/>
          <w:sz w:val="24"/>
          <w:szCs w:val="24"/>
        </w:rPr>
      </w:pPr>
      <w:r>
        <w:rPr>
          <w:rFonts w:hint="eastAsia" w:eastAsiaTheme="minorEastAsia"/>
          <w:sz w:val="24"/>
          <w:szCs w:val="24"/>
        </w:rPr>
        <w:t>统计各区县报告死亡情况（报告死亡数、报告死亡率、重卡率、报告及时性、身份证号填写完整率、多死因链填写完整率）、审核情况（审核率、迟审率、一审通过率）、死因编码评价指标（死因诊断不明比例、伤害意图不明比例、心血管病缺乏诊断意义比例、肿瘤未指明位置比例、呼衰/肝衰比例）。</w:t>
      </w:r>
    </w:p>
    <w:p>
      <w:pPr>
        <w:spacing w:line="360" w:lineRule="auto"/>
        <w:ind w:firstLine="480" w:firstLineChars="200"/>
        <w:rPr>
          <w:rFonts w:eastAsiaTheme="minorEastAsia"/>
          <w:sz w:val="24"/>
          <w:szCs w:val="24"/>
        </w:rPr>
      </w:pPr>
      <w:r>
        <w:rPr>
          <w:rFonts w:hint="eastAsia" w:eastAsiaTheme="minorEastAsia"/>
          <w:sz w:val="24"/>
          <w:szCs w:val="24"/>
        </w:rPr>
        <w:t>（</w:t>
      </w:r>
      <w:r>
        <w:rPr>
          <w:rFonts w:eastAsiaTheme="minorEastAsia"/>
          <w:sz w:val="24"/>
          <w:szCs w:val="24"/>
        </w:rPr>
        <w:t>8</w:t>
      </w:r>
      <w:r>
        <w:rPr>
          <w:rFonts w:hint="eastAsia" w:eastAsiaTheme="minorEastAsia"/>
          <w:sz w:val="24"/>
          <w:szCs w:val="24"/>
        </w:rPr>
        <w:t>）按单位质量分析</w:t>
      </w:r>
    </w:p>
    <w:p>
      <w:pPr>
        <w:spacing w:line="360" w:lineRule="auto"/>
        <w:ind w:firstLine="480" w:firstLineChars="200"/>
        <w:rPr>
          <w:rFonts w:eastAsiaTheme="minorEastAsia"/>
          <w:sz w:val="24"/>
          <w:szCs w:val="24"/>
        </w:rPr>
      </w:pPr>
      <w:r>
        <w:rPr>
          <w:rFonts w:hint="eastAsia" w:eastAsiaTheme="minorEastAsia"/>
          <w:sz w:val="24"/>
          <w:szCs w:val="24"/>
        </w:rPr>
        <w:t>统计各机构报告死亡数、报告及时性、身份证号填写完整率、多死因链填写完整率、审核率、迟审率、一审通过率、死因诊断不明比例、伤害意图不明比例、心血管病缺乏诊断意义比例、肿瘤未指明位置比例、呼衰/肝衰比例）。</w:t>
      </w:r>
    </w:p>
    <w:p>
      <w:pPr>
        <w:spacing w:line="360" w:lineRule="auto"/>
        <w:ind w:firstLine="480" w:firstLineChars="200"/>
        <w:rPr>
          <w:rFonts w:eastAsiaTheme="minorEastAsia"/>
          <w:sz w:val="24"/>
          <w:szCs w:val="24"/>
        </w:rPr>
      </w:pPr>
      <w:r>
        <w:rPr>
          <w:rFonts w:hint="eastAsia" w:eastAsiaTheme="minorEastAsia"/>
          <w:sz w:val="24"/>
          <w:szCs w:val="24"/>
        </w:rPr>
        <w:t>（</w:t>
      </w:r>
      <w:r>
        <w:rPr>
          <w:rFonts w:eastAsiaTheme="minorEastAsia"/>
          <w:sz w:val="24"/>
          <w:szCs w:val="24"/>
        </w:rPr>
        <w:t>9</w:t>
      </w:r>
      <w:r>
        <w:rPr>
          <w:rFonts w:hint="eastAsia" w:eastAsiaTheme="minorEastAsia"/>
          <w:sz w:val="24"/>
          <w:szCs w:val="24"/>
        </w:rPr>
        <w:t>）疾病负担分析</w:t>
      </w:r>
    </w:p>
    <w:p>
      <w:pPr>
        <w:spacing w:line="360" w:lineRule="auto"/>
        <w:ind w:firstLine="480" w:firstLineChars="200"/>
        <w:rPr>
          <w:rFonts w:eastAsiaTheme="minorEastAsia"/>
          <w:sz w:val="24"/>
          <w:szCs w:val="24"/>
        </w:rPr>
      </w:pPr>
      <w:r>
        <w:rPr>
          <w:rFonts w:hint="eastAsia" w:eastAsiaTheme="minorEastAsia"/>
          <w:sz w:val="24"/>
          <w:szCs w:val="24"/>
        </w:rPr>
        <w:t>分病种、分危险因素统计分析疾病负担（DALY、YLL和YLD）和归因疾病负担。包括心脑血管疾病、糖尿病、恶性肿瘤、慢性呼吸系统疾病等主要慢性病疾病负担，环境危险因素、行为危险因素、代谢危险因素等慢性病归因疾病负担。</w:t>
      </w:r>
    </w:p>
    <w:p>
      <w:pPr>
        <w:spacing w:line="360" w:lineRule="auto"/>
        <w:ind w:firstLine="480" w:firstLineChars="200"/>
        <w:rPr>
          <w:rFonts w:eastAsiaTheme="minorEastAsia"/>
          <w:sz w:val="24"/>
          <w:szCs w:val="24"/>
        </w:rPr>
      </w:pPr>
      <w:r>
        <w:rPr>
          <w:rFonts w:hint="eastAsia" w:eastAsiaTheme="minorEastAsia"/>
          <w:sz w:val="24"/>
          <w:szCs w:val="24"/>
        </w:rPr>
        <w:t>4、基础支撑</w:t>
      </w:r>
    </w:p>
    <w:p>
      <w:pPr>
        <w:spacing w:line="360" w:lineRule="auto"/>
        <w:ind w:firstLine="480" w:firstLineChars="200"/>
        <w:rPr>
          <w:rFonts w:eastAsiaTheme="minorEastAsia"/>
          <w:color w:val="000000" w:themeColor="text1"/>
          <w:sz w:val="24"/>
          <w:szCs w:val="24"/>
        </w:rPr>
      </w:pPr>
      <w:r>
        <w:rPr>
          <w:rFonts w:hint="eastAsia" w:eastAsiaTheme="minorEastAsia"/>
          <w:sz w:val="24"/>
          <w:szCs w:val="24"/>
        </w:rPr>
        <w:t>系统提供对南京市组织机构、行政区划、标化人口数、疾病分类等基础编码</w:t>
      </w:r>
      <w:r>
        <w:rPr>
          <w:rFonts w:hint="eastAsia" w:eastAsiaTheme="minorEastAsia"/>
          <w:color w:val="000000" w:themeColor="text1"/>
          <w:sz w:val="24"/>
          <w:szCs w:val="24"/>
        </w:rPr>
        <w:t>的维护功能。</w:t>
      </w:r>
    </w:p>
    <w:p>
      <w:pPr>
        <w:spacing w:line="360" w:lineRule="auto"/>
        <w:ind w:firstLine="482" w:firstLineChars="200"/>
        <w:rPr>
          <w:rFonts w:eastAsiaTheme="minorEastAsia"/>
          <w:b/>
          <w:color w:val="000000" w:themeColor="text1"/>
          <w:sz w:val="24"/>
          <w:szCs w:val="24"/>
        </w:rPr>
      </w:pPr>
      <w:r>
        <w:rPr>
          <w:rFonts w:eastAsiaTheme="minorEastAsia"/>
          <w:b/>
          <w:color w:val="000000" w:themeColor="text1"/>
          <w:sz w:val="24"/>
          <w:szCs w:val="24"/>
        </w:rPr>
        <w:t>（二）平台性能指标要求</w:t>
      </w:r>
    </w:p>
    <w:p>
      <w:pPr>
        <w:spacing w:line="360" w:lineRule="auto"/>
        <w:ind w:firstLine="480" w:firstLineChars="200"/>
        <w:rPr>
          <w:rFonts w:eastAsiaTheme="minorEastAsia"/>
          <w:sz w:val="24"/>
          <w:szCs w:val="24"/>
        </w:rPr>
      </w:pPr>
      <w:r>
        <w:rPr>
          <w:rFonts w:hint="eastAsia" w:eastAsiaTheme="minorEastAsia"/>
          <w:sz w:val="24"/>
          <w:szCs w:val="24"/>
        </w:rPr>
        <w:t>系统需满足以下性能需求：</w:t>
      </w:r>
    </w:p>
    <w:p>
      <w:pPr>
        <w:spacing w:line="360" w:lineRule="auto"/>
        <w:ind w:firstLine="480" w:firstLineChars="200"/>
        <w:rPr>
          <w:rFonts w:eastAsiaTheme="minorEastAsia"/>
          <w:sz w:val="24"/>
          <w:szCs w:val="24"/>
        </w:rPr>
      </w:pPr>
      <w:r>
        <w:rPr>
          <w:rFonts w:hint="eastAsia" w:eastAsiaTheme="minorEastAsia"/>
          <w:sz w:val="24"/>
          <w:szCs w:val="24"/>
        </w:rPr>
        <w:t>1、用户业务操作互动类，响应时间应在3-5秒。</w:t>
      </w:r>
    </w:p>
    <w:p>
      <w:pPr>
        <w:spacing w:line="360" w:lineRule="auto"/>
        <w:ind w:firstLine="480" w:firstLineChars="200"/>
        <w:rPr>
          <w:rFonts w:eastAsiaTheme="minorEastAsia"/>
          <w:sz w:val="24"/>
          <w:szCs w:val="24"/>
        </w:rPr>
      </w:pPr>
      <w:r>
        <w:rPr>
          <w:rFonts w:hint="eastAsia" w:eastAsiaTheme="minorEastAsia"/>
          <w:sz w:val="24"/>
          <w:szCs w:val="24"/>
        </w:rPr>
        <w:t>2、用户普通查询统计类，响应时间应在5-10秒。</w:t>
      </w:r>
    </w:p>
    <w:p>
      <w:pPr>
        <w:spacing w:line="360" w:lineRule="auto"/>
        <w:ind w:firstLine="480" w:firstLineChars="200"/>
        <w:rPr>
          <w:rFonts w:eastAsiaTheme="minorEastAsia"/>
          <w:sz w:val="24"/>
          <w:szCs w:val="24"/>
        </w:rPr>
      </w:pPr>
      <w:r>
        <w:rPr>
          <w:rFonts w:hint="eastAsia" w:eastAsiaTheme="minorEastAsia"/>
          <w:sz w:val="24"/>
          <w:szCs w:val="24"/>
        </w:rPr>
        <w:t>3、对于各种数据统计分析和多维展示的操作应该做到快速响应，非特别复杂的计算最多不超过20秒的时间内返回给用户以应答。</w:t>
      </w:r>
    </w:p>
    <w:p>
      <w:pPr>
        <w:spacing w:line="360" w:lineRule="auto"/>
        <w:ind w:firstLine="482" w:firstLineChars="200"/>
        <w:rPr>
          <w:rFonts w:eastAsiaTheme="minorEastAsia"/>
          <w:b/>
          <w:color w:val="000000" w:themeColor="text1"/>
          <w:sz w:val="24"/>
          <w:szCs w:val="24"/>
        </w:rPr>
      </w:pPr>
      <w:r>
        <w:rPr>
          <w:rFonts w:eastAsiaTheme="minorEastAsia"/>
          <w:b/>
          <w:color w:val="000000" w:themeColor="text1"/>
          <w:sz w:val="24"/>
          <w:szCs w:val="24"/>
        </w:rPr>
        <w:t>（三）数据平台维护要求</w:t>
      </w:r>
    </w:p>
    <w:p>
      <w:pPr>
        <w:spacing w:line="360" w:lineRule="auto"/>
        <w:ind w:firstLine="480" w:firstLineChars="200"/>
        <w:rPr>
          <w:rFonts w:eastAsiaTheme="minorEastAsia"/>
          <w:sz w:val="24"/>
          <w:szCs w:val="24"/>
        </w:rPr>
      </w:pPr>
      <w:r>
        <w:rPr>
          <w:rFonts w:eastAsiaTheme="minorEastAsia"/>
          <w:sz w:val="24"/>
          <w:szCs w:val="24"/>
        </w:rPr>
        <w:t>1. 提供为期1年的系统维护服务，服务内容包含对现有功能的维护，技术指导服务等。</w:t>
      </w:r>
    </w:p>
    <w:p>
      <w:pPr>
        <w:spacing w:line="360" w:lineRule="auto"/>
        <w:ind w:firstLine="480" w:firstLineChars="200"/>
        <w:rPr>
          <w:rFonts w:eastAsiaTheme="minorEastAsia"/>
          <w:sz w:val="24"/>
          <w:szCs w:val="24"/>
        </w:rPr>
      </w:pPr>
      <w:r>
        <w:rPr>
          <w:rFonts w:eastAsiaTheme="minorEastAsia"/>
          <w:sz w:val="24"/>
          <w:szCs w:val="24"/>
        </w:rPr>
        <w:t>2. 投标人应提供详细的服务计划和服务承诺、系统应急方案。在服务计划中须明确说明服务人员配置、服务流程设置、服务文档种类、服务响应时间。</w:t>
      </w:r>
    </w:p>
    <w:p>
      <w:pPr>
        <w:spacing w:line="360" w:lineRule="auto"/>
        <w:ind w:firstLine="480" w:firstLineChars="200"/>
        <w:rPr>
          <w:rFonts w:eastAsiaTheme="minorEastAsia"/>
          <w:sz w:val="24"/>
          <w:szCs w:val="24"/>
        </w:rPr>
      </w:pPr>
      <w:r>
        <w:rPr>
          <w:rFonts w:eastAsiaTheme="minorEastAsia"/>
          <w:sz w:val="24"/>
          <w:szCs w:val="24"/>
        </w:rPr>
        <w:t>3. 在质量保证期间，投标人必须在2小时内对招标方所提出的维护要求做出实质性反应，及时解决系统运行中的问题。</w:t>
      </w:r>
    </w:p>
    <w:p>
      <w:pPr>
        <w:spacing w:line="360" w:lineRule="auto"/>
        <w:ind w:firstLine="480" w:firstLineChars="200"/>
        <w:rPr>
          <w:rFonts w:eastAsiaTheme="minorEastAsia"/>
          <w:sz w:val="24"/>
          <w:szCs w:val="24"/>
        </w:rPr>
      </w:pPr>
      <w:r>
        <w:rPr>
          <w:rFonts w:eastAsiaTheme="minorEastAsia"/>
          <w:sz w:val="24"/>
          <w:szCs w:val="24"/>
        </w:rPr>
        <w:t>4.  投标人</w:t>
      </w:r>
      <w:r>
        <w:rPr>
          <w:rFonts w:hint="eastAsia" w:eastAsiaTheme="minorEastAsia"/>
          <w:sz w:val="24"/>
          <w:szCs w:val="24"/>
        </w:rPr>
        <w:t>在</w:t>
      </w:r>
      <w:r>
        <w:rPr>
          <w:rFonts w:eastAsiaTheme="minorEastAsia"/>
          <w:sz w:val="24"/>
          <w:szCs w:val="24"/>
        </w:rPr>
        <w:t>租赁期间</w:t>
      </w:r>
      <w:r>
        <w:rPr>
          <w:rFonts w:hint="eastAsia" w:eastAsiaTheme="minorEastAsia"/>
          <w:sz w:val="24"/>
          <w:szCs w:val="24"/>
        </w:rPr>
        <w:t>，</w:t>
      </w:r>
      <w:r>
        <w:rPr>
          <w:rFonts w:eastAsiaTheme="minorEastAsia"/>
          <w:sz w:val="24"/>
          <w:szCs w:val="24"/>
        </w:rPr>
        <w:t>如产品发生严重故障且维修周期超过3个工作日仍不能解决问题或同一故障出现三次以上，招标方有权</w:t>
      </w:r>
      <w:r>
        <w:rPr>
          <w:rFonts w:hint="eastAsia" w:eastAsiaTheme="minorEastAsia"/>
          <w:sz w:val="24"/>
          <w:szCs w:val="24"/>
        </w:rPr>
        <w:t>终止租赁服务</w:t>
      </w:r>
      <w:r>
        <w:rPr>
          <w:rFonts w:eastAsiaTheme="minorEastAsia"/>
          <w:sz w:val="24"/>
          <w:szCs w:val="24"/>
        </w:rPr>
        <w:t>。</w:t>
      </w:r>
    </w:p>
    <w:p>
      <w:pPr>
        <w:pStyle w:val="12"/>
        <w:numPr>
          <w:ilvl w:val="0"/>
          <w:numId w:val="1"/>
        </w:numPr>
        <w:spacing w:line="360" w:lineRule="auto"/>
        <w:ind w:firstLineChars="0"/>
        <w:rPr>
          <w:rFonts w:ascii="Times New Roman" w:hAnsi="Times New Roman" w:eastAsiaTheme="minorEastAsia"/>
          <w:b/>
          <w:sz w:val="24"/>
          <w:szCs w:val="24"/>
        </w:rPr>
      </w:pPr>
      <w:r>
        <w:rPr>
          <w:rFonts w:ascii="Times New Roman" w:hAnsi="Times New Roman" w:eastAsiaTheme="minorEastAsia"/>
          <w:b/>
          <w:sz w:val="24"/>
          <w:szCs w:val="24"/>
        </w:rPr>
        <w:t>项目进度要求</w:t>
      </w:r>
    </w:p>
    <w:p>
      <w:pPr>
        <w:spacing w:line="360" w:lineRule="auto"/>
        <w:ind w:firstLine="480" w:firstLineChars="200"/>
        <w:rPr>
          <w:rFonts w:eastAsiaTheme="minorEastAsia"/>
          <w:sz w:val="24"/>
          <w:szCs w:val="24"/>
        </w:rPr>
      </w:pPr>
      <w:r>
        <w:rPr>
          <w:rFonts w:eastAsiaTheme="minorEastAsia"/>
          <w:sz w:val="24"/>
          <w:szCs w:val="24"/>
        </w:rPr>
        <w:t xml:space="preserve"> 中标人与招标方充分沟通后着手组织实施，2020年</w:t>
      </w:r>
      <w:r>
        <w:rPr>
          <w:rFonts w:hint="eastAsia" w:eastAsiaTheme="minorEastAsia"/>
          <w:sz w:val="24"/>
          <w:szCs w:val="24"/>
        </w:rPr>
        <w:t xml:space="preserve">12 </w:t>
      </w:r>
      <w:r>
        <w:rPr>
          <w:rFonts w:eastAsiaTheme="minorEastAsia"/>
          <w:sz w:val="24"/>
          <w:szCs w:val="24"/>
        </w:rPr>
        <w:t>月</w:t>
      </w:r>
      <w:r>
        <w:rPr>
          <w:rFonts w:hint="eastAsia" w:eastAsiaTheme="minorEastAsia"/>
          <w:sz w:val="24"/>
          <w:szCs w:val="24"/>
        </w:rPr>
        <w:t>15</w:t>
      </w:r>
      <w:r>
        <w:rPr>
          <w:rFonts w:eastAsiaTheme="minorEastAsia"/>
          <w:sz w:val="24"/>
          <w:szCs w:val="24"/>
        </w:rPr>
        <w:t>日之前完成项目；确保</w:t>
      </w:r>
      <w:r>
        <w:rPr>
          <w:rFonts w:hint="eastAsia" w:eastAsiaTheme="minorEastAsia"/>
          <w:sz w:val="24"/>
          <w:szCs w:val="24"/>
        </w:rPr>
        <w:t>2020年12</w:t>
      </w:r>
      <w:r>
        <w:rPr>
          <w:rFonts w:eastAsiaTheme="minorEastAsia"/>
          <w:sz w:val="24"/>
          <w:szCs w:val="24"/>
        </w:rPr>
        <w:t>月</w:t>
      </w:r>
      <w:r>
        <w:rPr>
          <w:rFonts w:hint="eastAsia" w:eastAsiaTheme="minorEastAsia"/>
          <w:sz w:val="24"/>
          <w:szCs w:val="24"/>
        </w:rPr>
        <w:t>31</w:t>
      </w:r>
      <w:r>
        <w:rPr>
          <w:rFonts w:eastAsiaTheme="minorEastAsia"/>
          <w:sz w:val="24"/>
          <w:szCs w:val="24"/>
        </w:rPr>
        <w:t>日之前能投入使用。</w:t>
      </w:r>
    </w:p>
    <w:p>
      <w:pPr>
        <w:spacing w:line="360" w:lineRule="auto"/>
        <w:ind w:firstLine="480" w:firstLineChars="200"/>
        <w:rPr>
          <w:rFonts w:eastAsiaTheme="minorEastAsia"/>
          <w:sz w:val="24"/>
          <w:szCs w:val="24"/>
        </w:rPr>
      </w:pPr>
      <w:r>
        <w:rPr>
          <w:rFonts w:hint="eastAsia" w:eastAsiaTheme="minorEastAsia"/>
          <w:sz w:val="24"/>
          <w:szCs w:val="24"/>
        </w:rPr>
        <w:t>租赁</w:t>
      </w:r>
      <w:r>
        <w:rPr>
          <w:rFonts w:eastAsiaTheme="minorEastAsia"/>
          <w:sz w:val="24"/>
          <w:szCs w:val="24"/>
        </w:rPr>
        <w:t>期限：2021年 1 月 1 日至 12 月 31日</w:t>
      </w:r>
    </w:p>
    <w:p>
      <w:pPr>
        <w:pStyle w:val="12"/>
        <w:numPr>
          <w:ilvl w:val="0"/>
          <w:numId w:val="1"/>
        </w:numPr>
        <w:spacing w:line="360" w:lineRule="auto"/>
        <w:ind w:firstLineChars="0"/>
        <w:rPr>
          <w:rFonts w:ascii="Times New Roman" w:hAnsi="Times New Roman" w:eastAsiaTheme="minorEastAsia"/>
          <w:b/>
          <w:sz w:val="24"/>
          <w:szCs w:val="24"/>
        </w:rPr>
      </w:pPr>
      <w:r>
        <w:rPr>
          <w:rFonts w:ascii="Times New Roman" w:hAnsi="Times New Roman" w:eastAsiaTheme="minorEastAsia"/>
          <w:b/>
          <w:sz w:val="24"/>
          <w:szCs w:val="24"/>
        </w:rPr>
        <w:t>培训要求</w:t>
      </w:r>
    </w:p>
    <w:p>
      <w:pPr>
        <w:spacing w:line="360" w:lineRule="auto"/>
        <w:ind w:firstLine="480" w:firstLineChars="200"/>
        <w:rPr>
          <w:rFonts w:eastAsiaTheme="minorEastAsia"/>
          <w:sz w:val="24"/>
          <w:szCs w:val="24"/>
        </w:rPr>
      </w:pPr>
      <w:r>
        <w:rPr>
          <w:rFonts w:eastAsiaTheme="minorEastAsia"/>
          <w:sz w:val="24"/>
          <w:szCs w:val="24"/>
        </w:rPr>
        <w:t>对于所有培训，中标方须成立由具有数据收集与管理平台经验、沟通能力强的人员组成的培训组师资团队，提供</w:t>
      </w:r>
      <w:r>
        <w:rPr>
          <w:rFonts w:hint="eastAsia" w:eastAsiaTheme="minorEastAsia"/>
          <w:sz w:val="24"/>
          <w:szCs w:val="24"/>
        </w:rPr>
        <w:t>市</w:t>
      </w:r>
      <w:r>
        <w:rPr>
          <w:rFonts w:eastAsiaTheme="minorEastAsia"/>
          <w:sz w:val="24"/>
          <w:szCs w:val="24"/>
        </w:rPr>
        <w:t>级培训，确保培训师资人数满足需求。负责培训资料和多媒体演示系统等方面的准备和授课。参与培训的师资应熟练掌握该系统的安装、运行，授课时条理清晰，确保各级业务人员能够熟悉该应用系统软件的操作流程和使用。</w:t>
      </w:r>
    </w:p>
    <w:p>
      <w:pPr>
        <w:pStyle w:val="12"/>
        <w:numPr>
          <w:ilvl w:val="0"/>
          <w:numId w:val="1"/>
        </w:numPr>
        <w:spacing w:line="360" w:lineRule="auto"/>
        <w:ind w:firstLineChars="0"/>
        <w:rPr>
          <w:rFonts w:ascii="Times New Roman" w:hAnsi="Times New Roman" w:eastAsiaTheme="minorEastAsia"/>
          <w:b/>
          <w:sz w:val="24"/>
          <w:szCs w:val="24"/>
        </w:rPr>
      </w:pPr>
      <w:r>
        <w:rPr>
          <w:rFonts w:ascii="Times New Roman" w:hAnsi="Times New Roman" w:eastAsiaTheme="minorEastAsia"/>
          <w:b/>
          <w:sz w:val="24"/>
          <w:szCs w:val="24"/>
        </w:rPr>
        <w:t>申请人资格要求</w:t>
      </w:r>
    </w:p>
    <w:p>
      <w:pPr>
        <w:pStyle w:val="12"/>
        <w:numPr>
          <w:ilvl w:val="0"/>
          <w:numId w:val="2"/>
        </w:numPr>
        <w:spacing w:line="360" w:lineRule="auto"/>
        <w:ind w:firstLineChars="0"/>
        <w:rPr>
          <w:rFonts w:ascii="Times New Roman" w:hAnsi="Times New Roman" w:eastAsiaTheme="minorEastAsia"/>
          <w:sz w:val="24"/>
          <w:szCs w:val="24"/>
        </w:rPr>
      </w:pPr>
      <w:r>
        <w:rPr>
          <w:rFonts w:ascii="Times New Roman" w:hAnsi="Times New Roman" w:eastAsiaTheme="minorEastAsia"/>
          <w:sz w:val="24"/>
          <w:szCs w:val="24"/>
        </w:rPr>
        <w:t>满足《中国人民共和国政府采购法》第二十二条规定；</w:t>
      </w:r>
    </w:p>
    <w:p>
      <w:pPr>
        <w:pStyle w:val="12"/>
        <w:numPr>
          <w:ilvl w:val="0"/>
          <w:numId w:val="2"/>
        </w:numPr>
        <w:spacing w:line="360" w:lineRule="auto"/>
        <w:ind w:firstLineChars="0"/>
        <w:rPr>
          <w:rFonts w:ascii="Times New Roman" w:hAnsi="Times New Roman" w:eastAsiaTheme="minorEastAsia"/>
          <w:sz w:val="24"/>
          <w:szCs w:val="24"/>
        </w:rPr>
      </w:pPr>
      <w:r>
        <w:rPr>
          <w:rFonts w:ascii="Times New Roman" w:hAnsi="Times New Roman" w:eastAsiaTheme="minorEastAsia"/>
          <w:sz w:val="24"/>
          <w:szCs w:val="24"/>
        </w:rPr>
        <w:t>具有独立企业法人资格，经营范围至少包括投标项目。</w:t>
      </w:r>
    </w:p>
    <w:p>
      <w:pPr>
        <w:pStyle w:val="12"/>
        <w:numPr>
          <w:ilvl w:val="0"/>
          <w:numId w:val="2"/>
        </w:numPr>
        <w:spacing w:line="360" w:lineRule="auto"/>
        <w:ind w:firstLineChars="0"/>
        <w:rPr>
          <w:rFonts w:ascii="Times New Roman" w:hAnsi="Times New Roman" w:eastAsiaTheme="minorEastAsia"/>
          <w:sz w:val="24"/>
          <w:szCs w:val="24"/>
        </w:rPr>
      </w:pPr>
      <w:r>
        <w:rPr>
          <w:rFonts w:ascii="Times New Roman" w:hAnsi="Times New Roman"/>
          <w:color w:val="000000"/>
          <w:kern w:val="0"/>
          <w:sz w:val="24"/>
        </w:rPr>
        <w:t>具有良好的商业信誉和健全的财务会计制度；</w:t>
      </w:r>
    </w:p>
    <w:p>
      <w:pPr>
        <w:pStyle w:val="12"/>
        <w:widowControl/>
        <w:numPr>
          <w:ilvl w:val="0"/>
          <w:numId w:val="2"/>
        </w:numPr>
        <w:tabs>
          <w:tab w:val="left" w:pos="0"/>
        </w:tabs>
        <w:spacing w:line="360" w:lineRule="auto"/>
        <w:ind w:firstLineChars="0"/>
        <w:rPr>
          <w:rFonts w:ascii="Times New Roman" w:hAnsi="Times New Roman"/>
          <w:color w:val="000000"/>
          <w:kern w:val="0"/>
          <w:sz w:val="24"/>
        </w:rPr>
      </w:pPr>
      <w:r>
        <w:rPr>
          <w:rFonts w:ascii="Times New Roman" w:hAnsi="Times New Roman"/>
          <w:color w:val="000000"/>
          <w:kern w:val="0"/>
          <w:sz w:val="24"/>
        </w:rPr>
        <w:t>具有履行合同所必需的设备和专业技术能力；</w:t>
      </w:r>
    </w:p>
    <w:p>
      <w:pPr>
        <w:pStyle w:val="12"/>
        <w:widowControl/>
        <w:numPr>
          <w:ilvl w:val="0"/>
          <w:numId w:val="2"/>
        </w:numPr>
        <w:tabs>
          <w:tab w:val="left" w:pos="0"/>
        </w:tabs>
        <w:spacing w:line="360" w:lineRule="auto"/>
        <w:ind w:firstLineChars="0"/>
        <w:rPr>
          <w:rFonts w:ascii="Times New Roman" w:hAnsi="Times New Roman"/>
          <w:color w:val="000000"/>
          <w:kern w:val="0"/>
          <w:sz w:val="24"/>
        </w:rPr>
      </w:pPr>
      <w:r>
        <w:rPr>
          <w:rFonts w:ascii="Times New Roman" w:hAnsi="Times New Roman"/>
          <w:color w:val="000000"/>
          <w:kern w:val="0"/>
          <w:sz w:val="24"/>
        </w:rPr>
        <w:t>有依法缴纳税收和社会保障资金的良好记录；</w:t>
      </w:r>
    </w:p>
    <w:p>
      <w:pPr>
        <w:pStyle w:val="12"/>
        <w:widowControl/>
        <w:numPr>
          <w:ilvl w:val="0"/>
          <w:numId w:val="2"/>
        </w:numPr>
        <w:tabs>
          <w:tab w:val="left" w:pos="0"/>
        </w:tabs>
        <w:spacing w:line="360" w:lineRule="auto"/>
        <w:ind w:firstLineChars="0"/>
        <w:rPr>
          <w:rFonts w:ascii="Times New Roman" w:hAnsi="Times New Roman"/>
          <w:color w:val="000000"/>
          <w:kern w:val="0"/>
          <w:sz w:val="24"/>
        </w:rPr>
      </w:pPr>
      <w:r>
        <w:rPr>
          <w:rFonts w:ascii="Times New Roman" w:hAnsi="Times New Roman"/>
          <w:color w:val="000000"/>
          <w:kern w:val="0"/>
          <w:sz w:val="24"/>
        </w:rPr>
        <w:t>近三年内（本项目投标截止期前）在经营活动中没有重大违法记录；</w:t>
      </w:r>
    </w:p>
    <w:p>
      <w:pPr>
        <w:pStyle w:val="12"/>
        <w:numPr>
          <w:ilvl w:val="0"/>
          <w:numId w:val="1"/>
        </w:numPr>
        <w:spacing w:line="360" w:lineRule="auto"/>
        <w:ind w:firstLineChars="0"/>
        <w:rPr>
          <w:rFonts w:ascii="Times New Roman" w:hAnsi="Times New Roman" w:eastAsiaTheme="minorEastAsia"/>
          <w:b/>
          <w:sz w:val="24"/>
          <w:szCs w:val="24"/>
        </w:rPr>
      </w:pPr>
      <w:bookmarkStart w:id="1" w:name="_GoBack"/>
      <w:r>
        <w:rPr>
          <w:rFonts w:ascii="Times New Roman" w:hAnsi="Times New Roman" w:eastAsiaTheme="minorEastAsia"/>
          <w:b/>
          <w:sz w:val="24"/>
          <w:szCs w:val="24"/>
        </w:rPr>
        <w:t>获取招标文件</w:t>
      </w:r>
    </w:p>
    <w:p>
      <w:pPr>
        <w:pStyle w:val="12"/>
        <w:spacing w:line="360" w:lineRule="auto"/>
        <w:ind w:left="720" w:firstLine="0" w:firstLineChars="0"/>
        <w:rPr>
          <w:rFonts w:ascii="Times New Roman" w:hAnsi="Times New Roman" w:eastAsiaTheme="minorEastAsia"/>
          <w:sz w:val="24"/>
          <w:szCs w:val="24"/>
          <w:shd w:val="pct10" w:color="auto" w:fill="FFFFFF"/>
        </w:rPr>
      </w:pPr>
      <w:r>
        <w:rPr>
          <w:rFonts w:ascii="Times New Roman" w:hAnsi="Times New Roman" w:eastAsiaTheme="minorEastAsia"/>
          <w:sz w:val="24"/>
          <w:szCs w:val="24"/>
        </w:rPr>
        <w:t>时间：2020年</w:t>
      </w:r>
      <w:r>
        <w:rPr>
          <w:rFonts w:hint="eastAsia" w:ascii="Times New Roman" w:hAnsi="Times New Roman" w:eastAsiaTheme="minorEastAsia"/>
          <w:sz w:val="24"/>
          <w:szCs w:val="24"/>
          <w:lang w:val="en-US" w:eastAsia="zh-CN"/>
        </w:rPr>
        <w:t>12</w:t>
      </w:r>
      <w:r>
        <w:rPr>
          <w:rFonts w:hint="eastAsia" w:ascii="Times New Roman" w:hAnsi="Times New Roman" w:eastAsiaTheme="minorEastAsia"/>
          <w:sz w:val="24"/>
          <w:szCs w:val="24"/>
        </w:rPr>
        <w:t xml:space="preserve">  </w:t>
      </w:r>
      <w:r>
        <w:rPr>
          <w:rFonts w:ascii="Times New Roman" w:hAnsi="Times New Roman" w:eastAsiaTheme="minorEastAsia"/>
          <w:sz w:val="24"/>
          <w:szCs w:val="24"/>
        </w:rPr>
        <w:t xml:space="preserve">月 </w:t>
      </w:r>
      <w:r>
        <w:rPr>
          <w:rFonts w:hint="eastAsia" w:ascii="Times New Roman" w:hAnsi="Times New Roman" w:eastAsiaTheme="minorEastAsia"/>
          <w:sz w:val="24"/>
          <w:szCs w:val="24"/>
          <w:lang w:val="en-US" w:eastAsia="zh-CN"/>
        </w:rPr>
        <w:t>4</w:t>
      </w:r>
      <w:r>
        <w:rPr>
          <w:rFonts w:hint="eastAsia" w:ascii="Times New Roman" w:hAnsi="Times New Roman" w:eastAsiaTheme="minorEastAsia"/>
          <w:sz w:val="24"/>
          <w:szCs w:val="24"/>
        </w:rPr>
        <w:t xml:space="preserve"> </w:t>
      </w:r>
      <w:r>
        <w:rPr>
          <w:rFonts w:ascii="Times New Roman" w:hAnsi="Times New Roman" w:eastAsiaTheme="minorEastAsia"/>
          <w:sz w:val="24"/>
          <w:szCs w:val="24"/>
        </w:rPr>
        <w:t xml:space="preserve"> 日； 详见南京市疾控中心官网。</w:t>
      </w:r>
    </w:p>
    <w:p>
      <w:pPr>
        <w:pStyle w:val="12"/>
        <w:numPr>
          <w:ilvl w:val="0"/>
          <w:numId w:val="3"/>
        </w:numPr>
        <w:spacing w:line="360" w:lineRule="auto"/>
        <w:ind w:firstLineChars="0"/>
        <w:rPr>
          <w:rFonts w:ascii="Times New Roman" w:hAnsi="Times New Roman" w:eastAsiaTheme="minorEastAsia"/>
          <w:sz w:val="24"/>
          <w:szCs w:val="24"/>
        </w:rPr>
      </w:pPr>
      <w:r>
        <w:rPr>
          <w:rFonts w:ascii="Times New Roman" w:hAnsi="Times New Roman" w:eastAsiaTheme="minorEastAsia"/>
          <w:sz w:val="24"/>
          <w:szCs w:val="24"/>
        </w:rPr>
        <w:t>投标文件截止时间、开标时间和地点</w:t>
      </w:r>
    </w:p>
    <w:p>
      <w:pPr>
        <w:snapToGrid w:val="0"/>
        <w:spacing w:line="360" w:lineRule="auto"/>
        <w:ind w:firstLine="480" w:firstLineChars="200"/>
        <w:rPr>
          <w:rFonts w:eastAsiaTheme="minorEastAsia"/>
          <w:sz w:val="24"/>
          <w:szCs w:val="24"/>
        </w:rPr>
      </w:pPr>
      <w:r>
        <w:rPr>
          <w:rFonts w:eastAsiaTheme="minorEastAsia"/>
          <w:sz w:val="24"/>
          <w:szCs w:val="24"/>
        </w:rPr>
        <w:t xml:space="preserve">递交响应文件开始时间：2020年 </w:t>
      </w:r>
      <w:r>
        <w:rPr>
          <w:rFonts w:hint="eastAsia" w:eastAsiaTheme="minorEastAsia"/>
          <w:sz w:val="24"/>
          <w:szCs w:val="24"/>
          <w:lang w:val="en-US" w:eastAsia="zh-CN"/>
        </w:rPr>
        <w:t>12</w:t>
      </w:r>
      <w:r>
        <w:rPr>
          <w:rFonts w:eastAsiaTheme="minorEastAsia"/>
          <w:sz w:val="24"/>
          <w:szCs w:val="24"/>
        </w:rPr>
        <w:t xml:space="preserve">  月 </w:t>
      </w:r>
      <w:r>
        <w:rPr>
          <w:rFonts w:hint="eastAsia" w:eastAsiaTheme="minorEastAsia"/>
          <w:sz w:val="24"/>
          <w:szCs w:val="24"/>
          <w:lang w:val="en-US" w:eastAsia="zh-CN"/>
        </w:rPr>
        <w:t>11</w:t>
      </w:r>
      <w:r>
        <w:rPr>
          <w:rFonts w:eastAsiaTheme="minorEastAsia"/>
          <w:sz w:val="24"/>
          <w:szCs w:val="24"/>
        </w:rPr>
        <w:t xml:space="preserve"> 日上午 9：00；</w:t>
      </w:r>
    </w:p>
    <w:p>
      <w:pPr>
        <w:snapToGrid w:val="0"/>
        <w:spacing w:line="360" w:lineRule="auto"/>
        <w:ind w:firstLine="480" w:firstLineChars="200"/>
        <w:rPr>
          <w:rFonts w:eastAsiaTheme="minorEastAsia"/>
          <w:sz w:val="24"/>
          <w:szCs w:val="24"/>
        </w:rPr>
      </w:pPr>
      <w:r>
        <w:rPr>
          <w:rFonts w:eastAsiaTheme="minorEastAsia"/>
          <w:sz w:val="24"/>
          <w:szCs w:val="24"/>
        </w:rPr>
        <w:t>递交响应文件截止时间：2020年</w:t>
      </w:r>
      <w:r>
        <w:rPr>
          <w:rFonts w:hint="eastAsia" w:eastAsiaTheme="minorEastAsia"/>
          <w:sz w:val="24"/>
          <w:szCs w:val="24"/>
          <w:lang w:val="en-US" w:eastAsia="zh-CN"/>
        </w:rPr>
        <w:t>12</w:t>
      </w:r>
      <w:r>
        <w:rPr>
          <w:rFonts w:eastAsiaTheme="minorEastAsia"/>
          <w:sz w:val="24"/>
          <w:szCs w:val="24"/>
        </w:rPr>
        <w:t xml:space="preserve"> 月 </w:t>
      </w:r>
      <w:r>
        <w:rPr>
          <w:rFonts w:hint="eastAsia" w:eastAsiaTheme="minorEastAsia"/>
          <w:sz w:val="24"/>
          <w:szCs w:val="24"/>
          <w:lang w:val="en-US" w:eastAsia="zh-CN"/>
        </w:rPr>
        <w:t>11</w:t>
      </w:r>
      <w:r>
        <w:rPr>
          <w:rFonts w:eastAsiaTheme="minorEastAsia"/>
          <w:sz w:val="24"/>
          <w:szCs w:val="24"/>
        </w:rPr>
        <w:t xml:space="preserve"> 日上午 9：29；</w:t>
      </w:r>
    </w:p>
    <w:p>
      <w:pPr>
        <w:spacing w:line="360" w:lineRule="auto"/>
        <w:ind w:firstLine="480" w:firstLineChars="200"/>
        <w:rPr>
          <w:rFonts w:eastAsiaTheme="minorEastAsia"/>
          <w:sz w:val="24"/>
          <w:szCs w:val="24"/>
        </w:rPr>
      </w:pPr>
      <w:r>
        <w:rPr>
          <w:rFonts w:eastAsiaTheme="minorEastAsia"/>
          <w:sz w:val="24"/>
          <w:szCs w:val="24"/>
        </w:rPr>
        <w:t xml:space="preserve">开标时间：2020年 </w:t>
      </w:r>
      <w:r>
        <w:rPr>
          <w:rFonts w:hint="eastAsia" w:eastAsiaTheme="minorEastAsia"/>
          <w:sz w:val="24"/>
          <w:szCs w:val="24"/>
          <w:lang w:val="en-US" w:eastAsia="zh-CN"/>
        </w:rPr>
        <w:t>12</w:t>
      </w:r>
      <w:r>
        <w:rPr>
          <w:rFonts w:eastAsiaTheme="minorEastAsia"/>
          <w:sz w:val="24"/>
          <w:szCs w:val="24"/>
        </w:rPr>
        <w:t xml:space="preserve">月 </w:t>
      </w:r>
      <w:r>
        <w:rPr>
          <w:rFonts w:hint="eastAsia" w:eastAsiaTheme="minorEastAsia"/>
          <w:sz w:val="24"/>
          <w:szCs w:val="24"/>
          <w:lang w:val="en-US" w:eastAsia="zh-CN"/>
        </w:rPr>
        <w:t>11</w:t>
      </w:r>
      <w:r>
        <w:rPr>
          <w:rFonts w:eastAsiaTheme="minorEastAsia"/>
          <w:sz w:val="24"/>
          <w:szCs w:val="24"/>
        </w:rPr>
        <w:t xml:space="preserve">  日上午 9：30。</w:t>
      </w:r>
    </w:p>
    <w:bookmarkEnd w:id="1"/>
    <w:p>
      <w:pPr>
        <w:pStyle w:val="12"/>
        <w:numPr>
          <w:ilvl w:val="0"/>
          <w:numId w:val="3"/>
        </w:numPr>
        <w:spacing w:line="360" w:lineRule="auto"/>
        <w:ind w:firstLineChars="0"/>
        <w:rPr>
          <w:rFonts w:ascii="Times New Roman" w:hAnsi="Times New Roman" w:eastAsiaTheme="minorEastAsia"/>
          <w:sz w:val="24"/>
          <w:szCs w:val="24"/>
        </w:rPr>
      </w:pPr>
      <w:r>
        <w:rPr>
          <w:rFonts w:ascii="Times New Roman" w:hAnsi="Times New Roman" w:eastAsiaTheme="minorEastAsia"/>
          <w:sz w:val="24"/>
          <w:szCs w:val="24"/>
        </w:rPr>
        <w:t>公告期限</w:t>
      </w:r>
    </w:p>
    <w:p>
      <w:pPr>
        <w:spacing w:line="360" w:lineRule="auto"/>
        <w:ind w:firstLine="480" w:firstLineChars="200"/>
        <w:rPr>
          <w:rFonts w:eastAsiaTheme="minorEastAsia"/>
          <w:sz w:val="24"/>
          <w:szCs w:val="24"/>
        </w:rPr>
      </w:pPr>
      <w:r>
        <w:rPr>
          <w:rFonts w:eastAsiaTheme="minorEastAsia"/>
          <w:sz w:val="24"/>
          <w:szCs w:val="24"/>
        </w:rPr>
        <w:t>自本公告发布之日起5个工作日</w:t>
      </w:r>
    </w:p>
    <w:p>
      <w:pPr>
        <w:pStyle w:val="12"/>
        <w:numPr>
          <w:ilvl w:val="0"/>
          <w:numId w:val="3"/>
        </w:numPr>
        <w:spacing w:line="360" w:lineRule="auto"/>
        <w:ind w:firstLineChars="0"/>
        <w:rPr>
          <w:rFonts w:ascii="Times New Roman" w:hAnsi="Times New Roman" w:eastAsiaTheme="minorEastAsia"/>
          <w:sz w:val="24"/>
          <w:szCs w:val="24"/>
        </w:rPr>
      </w:pPr>
      <w:r>
        <w:rPr>
          <w:rFonts w:ascii="Times New Roman" w:hAnsi="Times New Roman" w:eastAsiaTheme="minorEastAsia"/>
          <w:sz w:val="24"/>
          <w:szCs w:val="24"/>
        </w:rPr>
        <w:t>其他补充事宜</w:t>
      </w:r>
    </w:p>
    <w:p>
      <w:pPr>
        <w:spacing w:line="360" w:lineRule="auto"/>
        <w:ind w:firstLine="480" w:firstLineChars="200"/>
        <w:rPr>
          <w:rFonts w:eastAsiaTheme="minorEastAsia"/>
          <w:sz w:val="24"/>
          <w:szCs w:val="24"/>
        </w:rPr>
      </w:pPr>
      <w:r>
        <w:rPr>
          <w:rFonts w:eastAsiaTheme="minorEastAsia"/>
          <w:sz w:val="24"/>
          <w:szCs w:val="24"/>
        </w:rPr>
        <w:t>本项目以符合要求，单价报价（最终）最低的原则确定成交供应商（若报价相同的，考虑售后服务、交货期、投标人的实力和业绩以及投标人所售产品的用户反映等各方面因素，进行综合择优确定）。欢迎符合资格条件的供应商参加。</w:t>
      </w:r>
    </w:p>
    <w:p>
      <w:pPr>
        <w:spacing w:line="360" w:lineRule="auto"/>
        <w:ind w:firstLine="480" w:firstLineChars="200"/>
        <w:rPr>
          <w:rFonts w:eastAsiaTheme="minorEastAsia"/>
          <w:sz w:val="24"/>
          <w:szCs w:val="24"/>
        </w:rPr>
      </w:pPr>
      <w:r>
        <w:rPr>
          <w:rFonts w:eastAsiaTheme="minorEastAsia"/>
          <w:sz w:val="24"/>
          <w:szCs w:val="24"/>
        </w:rPr>
        <w:t>投标人应根据需求，制定并提交投标文件。投标文件数量：一式</w:t>
      </w:r>
      <w:r>
        <w:rPr>
          <w:rFonts w:hint="eastAsia" w:eastAsiaTheme="minorEastAsia"/>
          <w:sz w:val="24"/>
          <w:szCs w:val="24"/>
        </w:rPr>
        <w:t>三</w:t>
      </w:r>
      <w:r>
        <w:rPr>
          <w:rFonts w:eastAsiaTheme="minorEastAsia"/>
          <w:sz w:val="24"/>
          <w:szCs w:val="24"/>
        </w:rPr>
        <w:t>份纸质版（壹份正本、</w:t>
      </w:r>
      <w:r>
        <w:rPr>
          <w:rFonts w:hint="eastAsia" w:eastAsiaTheme="minorEastAsia"/>
          <w:sz w:val="24"/>
          <w:szCs w:val="24"/>
        </w:rPr>
        <w:t>贰</w:t>
      </w:r>
      <w:r>
        <w:rPr>
          <w:rFonts w:eastAsiaTheme="minorEastAsia"/>
          <w:sz w:val="24"/>
          <w:szCs w:val="24"/>
        </w:rPr>
        <w:t>份副本），每份磋商文件须清楚标明“正本”或“副本”字样。一旦正本和副本不符，以正本为准。</w:t>
      </w:r>
    </w:p>
    <w:p>
      <w:pPr>
        <w:spacing w:line="360" w:lineRule="auto"/>
        <w:ind w:firstLine="480" w:firstLineChars="200"/>
        <w:rPr>
          <w:rFonts w:eastAsiaTheme="minorEastAsia"/>
          <w:sz w:val="24"/>
          <w:szCs w:val="24"/>
        </w:rPr>
      </w:pPr>
      <w:r>
        <w:rPr>
          <w:rFonts w:eastAsiaTheme="minorEastAsia"/>
          <w:sz w:val="24"/>
          <w:szCs w:val="24"/>
        </w:rPr>
        <w:t>投标人资质并提供其他证明材料（加盖公章）</w:t>
      </w:r>
    </w:p>
    <w:p>
      <w:pPr>
        <w:spacing w:line="360" w:lineRule="auto"/>
        <w:ind w:firstLine="480" w:firstLineChars="200"/>
        <w:rPr>
          <w:rFonts w:eastAsiaTheme="minorEastAsia"/>
          <w:sz w:val="24"/>
          <w:szCs w:val="24"/>
        </w:rPr>
      </w:pPr>
      <w:r>
        <w:rPr>
          <w:rFonts w:eastAsiaTheme="minorEastAsia"/>
          <w:sz w:val="24"/>
          <w:szCs w:val="24"/>
        </w:rPr>
        <w:t>其他证明材料：具备一年内或近期案例；具有完善的售后服务体系；具有良好的行业信誉，财务数据运营正常；投标人基本情况简介；项目负责人情况表；其他相关材料。</w:t>
      </w:r>
    </w:p>
    <w:p>
      <w:pPr>
        <w:spacing w:line="360" w:lineRule="auto"/>
        <w:ind w:firstLine="480" w:firstLineChars="200"/>
        <w:rPr>
          <w:rFonts w:eastAsiaTheme="minorEastAsia"/>
          <w:sz w:val="24"/>
          <w:szCs w:val="24"/>
        </w:rPr>
      </w:pPr>
      <w:r>
        <w:rPr>
          <w:rFonts w:eastAsiaTheme="minorEastAsia"/>
          <w:sz w:val="24"/>
          <w:szCs w:val="24"/>
        </w:rPr>
        <w:t>投标文件由下述部分组成，递交时应按顺序排列：响应申请及声明（格式）（附件一）；投标人法定代表授权书（附件二）； 报价单（附件三）；拟参与本项目人员一览表（附件四）；供应商类似业绩情况表（附件五）；无重大违法记录声明（附件六）。</w:t>
      </w:r>
    </w:p>
    <w:p>
      <w:pPr>
        <w:pStyle w:val="12"/>
        <w:numPr>
          <w:ilvl w:val="0"/>
          <w:numId w:val="3"/>
        </w:numPr>
        <w:spacing w:line="360" w:lineRule="auto"/>
        <w:ind w:firstLineChars="0"/>
        <w:rPr>
          <w:rFonts w:ascii="Times New Roman" w:hAnsi="Times New Roman" w:eastAsiaTheme="minorEastAsia"/>
          <w:sz w:val="24"/>
          <w:szCs w:val="24"/>
        </w:rPr>
      </w:pPr>
      <w:r>
        <w:rPr>
          <w:rFonts w:ascii="Times New Roman" w:hAnsi="Times New Roman" w:eastAsiaTheme="minorEastAsia"/>
          <w:sz w:val="24"/>
          <w:szCs w:val="24"/>
        </w:rPr>
        <w:t>对本次招标提出询问，请按以下方式联系：</w:t>
      </w:r>
    </w:p>
    <w:p>
      <w:pPr>
        <w:pStyle w:val="12"/>
        <w:numPr>
          <w:ilvl w:val="0"/>
          <w:numId w:val="4"/>
        </w:numPr>
        <w:spacing w:line="360" w:lineRule="auto"/>
        <w:ind w:firstLineChars="0"/>
        <w:rPr>
          <w:rFonts w:ascii="Times New Roman" w:hAnsi="Times New Roman" w:eastAsiaTheme="minorEastAsia"/>
          <w:sz w:val="24"/>
          <w:szCs w:val="24"/>
        </w:rPr>
      </w:pPr>
      <w:r>
        <w:rPr>
          <w:rFonts w:ascii="Times New Roman" w:hAnsi="Times New Roman" w:eastAsiaTheme="minorEastAsia"/>
          <w:sz w:val="24"/>
          <w:szCs w:val="24"/>
        </w:rPr>
        <w:t>采购联系人：疾控中心采购办，汪娜，83538375</w:t>
      </w:r>
    </w:p>
    <w:p>
      <w:pPr>
        <w:pStyle w:val="12"/>
        <w:numPr>
          <w:ilvl w:val="0"/>
          <w:numId w:val="4"/>
        </w:numPr>
        <w:spacing w:line="360" w:lineRule="auto"/>
        <w:ind w:firstLineChars="0"/>
        <w:rPr>
          <w:rFonts w:ascii="Times New Roman" w:hAnsi="Times New Roman" w:eastAsiaTheme="minorEastAsia"/>
          <w:sz w:val="24"/>
          <w:szCs w:val="24"/>
        </w:rPr>
      </w:pPr>
      <w:r>
        <w:rPr>
          <w:rFonts w:ascii="Times New Roman" w:hAnsi="Times New Roman" w:eastAsiaTheme="minorEastAsia"/>
          <w:sz w:val="24"/>
          <w:szCs w:val="24"/>
        </w:rPr>
        <w:t>项目联系人：慢性非传染病防制科，洪忻，83538339</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rFonts w:hint="eastAsia"/>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r>
        <w:rPr>
          <w:sz w:val="28"/>
          <w:szCs w:val="28"/>
        </w:rPr>
        <w:t>附件一：响应申请及声明（格式）</w:t>
      </w:r>
    </w:p>
    <w:p>
      <w:pPr>
        <w:jc w:val="center"/>
        <w:rPr>
          <w:sz w:val="24"/>
        </w:rPr>
      </w:pPr>
    </w:p>
    <w:p>
      <w:pPr>
        <w:jc w:val="center"/>
        <w:rPr>
          <w:b/>
          <w:sz w:val="36"/>
          <w:szCs w:val="36"/>
        </w:rPr>
      </w:pPr>
      <w:r>
        <w:rPr>
          <w:b/>
          <w:sz w:val="36"/>
          <w:szCs w:val="36"/>
        </w:rPr>
        <w:t>响应申请及声明</w:t>
      </w:r>
    </w:p>
    <w:p>
      <w:pPr>
        <w:jc w:val="center"/>
        <w:rPr>
          <w:szCs w:val="21"/>
        </w:rPr>
      </w:pPr>
    </w:p>
    <w:p>
      <w:pPr>
        <w:autoSpaceDE w:val="0"/>
        <w:autoSpaceDN w:val="0"/>
        <w:adjustRightInd w:val="0"/>
        <w:spacing w:line="360" w:lineRule="auto"/>
        <w:ind w:firstLine="480" w:firstLineChars="200"/>
        <w:rPr>
          <w:sz w:val="24"/>
          <w:szCs w:val="21"/>
          <w:lang w:val="zh-CN"/>
        </w:rPr>
      </w:pPr>
      <w:r>
        <w:rPr>
          <w:sz w:val="24"/>
          <w:szCs w:val="21"/>
          <w:lang w:val="zh-CN"/>
        </w:rPr>
        <w:t>致：南京市疾病预防控制中心</w:t>
      </w:r>
    </w:p>
    <w:p>
      <w:pPr>
        <w:autoSpaceDE w:val="0"/>
        <w:autoSpaceDN w:val="0"/>
        <w:adjustRightInd w:val="0"/>
        <w:spacing w:line="360" w:lineRule="auto"/>
        <w:ind w:firstLine="420"/>
        <w:rPr>
          <w:sz w:val="24"/>
          <w:szCs w:val="21"/>
          <w:lang w:val="zh-CN"/>
        </w:rPr>
      </w:pPr>
      <w:r>
        <w:rPr>
          <w:sz w:val="24"/>
          <w:szCs w:val="21"/>
          <w:lang w:val="zh-CN"/>
        </w:rPr>
        <w:t>根据贵方（项目名称）（项目编号）公告，正式授权下述签字人(姓名和职务)代表（供应商名称），提交响应性文件并参加采购。</w:t>
      </w:r>
    </w:p>
    <w:p>
      <w:pPr>
        <w:spacing w:line="360" w:lineRule="auto"/>
        <w:ind w:firstLine="480" w:firstLineChars="200"/>
        <w:rPr>
          <w:sz w:val="24"/>
          <w:szCs w:val="21"/>
        </w:rPr>
      </w:pPr>
      <w:r>
        <w:rPr>
          <w:sz w:val="24"/>
          <w:szCs w:val="21"/>
        </w:rPr>
        <w:t>据此函，签字人兹宣布同意如下：</w:t>
      </w:r>
    </w:p>
    <w:p>
      <w:pPr>
        <w:spacing w:line="360" w:lineRule="auto"/>
        <w:ind w:firstLine="480" w:firstLineChars="200"/>
        <w:rPr>
          <w:sz w:val="24"/>
          <w:szCs w:val="21"/>
        </w:rPr>
      </w:pPr>
      <w:r>
        <w:rPr>
          <w:sz w:val="24"/>
          <w:szCs w:val="21"/>
        </w:rPr>
        <w:t>1、</w:t>
      </w:r>
      <w:r>
        <w:rPr>
          <w:sz w:val="24"/>
          <w:szCs w:val="21"/>
          <w:lang w:val="zh-CN"/>
        </w:rPr>
        <w:t>我们的资格条件完全符合政府采购法和本次采购要求，</w:t>
      </w:r>
      <w:r>
        <w:rPr>
          <w:sz w:val="24"/>
          <w:szCs w:val="21"/>
        </w:rPr>
        <w:t>我们</w:t>
      </w:r>
      <w:r>
        <w:rPr>
          <w:sz w:val="24"/>
          <w:szCs w:val="21"/>
          <w:lang w:val="zh-CN"/>
        </w:rPr>
        <w:t>同意并向贵方提供了与本次采购活动有关的所有证据和资料</w:t>
      </w:r>
      <w:r>
        <w:rPr>
          <w:sz w:val="24"/>
          <w:szCs w:val="21"/>
        </w:rPr>
        <w:t>。</w:t>
      </w:r>
    </w:p>
    <w:p>
      <w:pPr>
        <w:spacing w:line="360" w:lineRule="auto"/>
        <w:ind w:firstLine="480" w:firstLineChars="200"/>
        <w:rPr>
          <w:sz w:val="24"/>
          <w:szCs w:val="21"/>
          <w:lang w:val="zh-CN"/>
        </w:rPr>
      </w:pPr>
      <w:r>
        <w:rPr>
          <w:sz w:val="24"/>
          <w:szCs w:val="21"/>
        </w:rPr>
        <w:t>2、总报价为（大写） 元。</w:t>
      </w:r>
    </w:p>
    <w:p>
      <w:pPr>
        <w:spacing w:line="360" w:lineRule="auto"/>
        <w:ind w:firstLine="480" w:firstLineChars="200"/>
        <w:rPr>
          <w:sz w:val="24"/>
          <w:szCs w:val="21"/>
        </w:rPr>
      </w:pPr>
      <w:r>
        <w:rPr>
          <w:sz w:val="24"/>
          <w:szCs w:val="21"/>
        </w:rPr>
        <w:t>3、</w:t>
      </w:r>
      <w:r>
        <w:rPr>
          <w:sz w:val="24"/>
          <w:szCs w:val="21"/>
          <w:lang w:val="zh-CN"/>
        </w:rPr>
        <w:t>我们的报价产品中</w:t>
      </w:r>
      <w:r>
        <w:rPr>
          <w:sz w:val="24"/>
          <w:szCs w:val="21"/>
          <w:u w:val="single"/>
        </w:rPr>
        <w:t>无</w:t>
      </w:r>
      <w:r>
        <w:rPr>
          <w:sz w:val="24"/>
          <w:szCs w:val="21"/>
          <w:lang w:val="zh-CN"/>
        </w:rPr>
        <w:t xml:space="preserve"> （有或无）进口产品（服务）。</w:t>
      </w:r>
    </w:p>
    <w:p>
      <w:pPr>
        <w:spacing w:line="360" w:lineRule="auto"/>
        <w:ind w:firstLine="480" w:firstLineChars="200"/>
        <w:rPr>
          <w:sz w:val="24"/>
          <w:szCs w:val="21"/>
          <w:lang w:val="zh-CN"/>
        </w:rPr>
      </w:pPr>
      <w:r>
        <w:rPr>
          <w:sz w:val="24"/>
          <w:szCs w:val="21"/>
        </w:rPr>
        <w:t>4、</w:t>
      </w:r>
      <w:r>
        <w:rPr>
          <w:sz w:val="24"/>
          <w:szCs w:val="21"/>
          <w:lang w:val="zh-CN"/>
        </w:rPr>
        <w:t>我们已详细阅读全部响应文件及其有效补充文件，我们放弃对响应文件任何误解的权利，提交响应文件后，不对响应文件本身提出质疑。</w:t>
      </w:r>
    </w:p>
    <w:p>
      <w:pPr>
        <w:spacing w:line="360" w:lineRule="auto"/>
        <w:ind w:firstLine="480" w:firstLineChars="200"/>
        <w:rPr>
          <w:sz w:val="24"/>
          <w:szCs w:val="21"/>
        </w:rPr>
      </w:pPr>
      <w:r>
        <w:rPr>
          <w:sz w:val="24"/>
          <w:szCs w:val="21"/>
        </w:rPr>
        <w:t>5、一旦我方成交，我方将根据响应文件的规定，严格履行合同，保证于承诺的时间内完成货物的启动、调试等服务，并交付采购人验收、使用。</w:t>
      </w:r>
    </w:p>
    <w:p>
      <w:pPr>
        <w:spacing w:line="360" w:lineRule="auto"/>
        <w:ind w:firstLine="480" w:firstLineChars="200"/>
        <w:rPr>
          <w:sz w:val="24"/>
          <w:szCs w:val="21"/>
        </w:rPr>
      </w:pPr>
      <w:r>
        <w:rPr>
          <w:sz w:val="24"/>
          <w:szCs w:val="21"/>
        </w:rPr>
        <w:t>6、我方决不提供虚假材料谋取成交、决不采取不正当手段诋毁、排挤其他供应商、决不与采购人、其它供应商或者采购代理机构恶意串通、决不向采购人、评审小组进行商业贿赂、决不拒绝有关部门监督检查或提供虚假情况，如有违反，无条件接受贵方及相关管理部门的处罚。</w:t>
      </w:r>
    </w:p>
    <w:p>
      <w:pPr>
        <w:spacing w:line="360" w:lineRule="auto"/>
        <w:ind w:firstLine="480" w:firstLineChars="200"/>
        <w:rPr>
          <w:sz w:val="24"/>
          <w:szCs w:val="21"/>
        </w:rPr>
      </w:pPr>
      <w:r>
        <w:rPr>
          <w:sz w:val="24"/>
          <w:szCs w:val="21"/>
        </w:rPr>
        <w:t>7、我方正式通讯方式为：</w:t>
      </w:r>
    </w:p>
    <w:p>
      <w:pPr>
        <w:spacing w:line="360" w:lineRule="auto"/>
        <w:ind w:firstLine="480" w:firstLineChars="200"/>
        <w:rPr>
          <w:sz w:val="24"/>
          <w:szCs w:val="21"/>
          <w:u w:val="single"/>
        </w:rPr>
      </w:pPr>
      <w:r>
        <w:rPr>
          <w:sz w:val="24"/>
          <w:szCs w:val="21"/>
        </w:rPr>
        <w:t>地   址：</w:t>
      </w:r>
    </w:p>
    <w:p>
      <w:pPr>
        <w:spacing w:line="360" w:lineRule="auto"/>
        <w:ind w:firstLine="480" w:firstLineChars="200"/>
        <w:rPr>
          <w:sz w:val="24"/>
          <w:szCs w:val="21"/>
          <w:u w:val="single"/>
        </w:rPr>
      </w:pPr>
      <w:r>
        <w:rPr>
          <w:sz w:val="24"/>
          <w:szCs w:val="21"/>
        </w:rPr>
        <w:t>电   话：</w:t>
      </w:r>
    </w:p>
    <w:p>
      <w:pPr>
        <w:spacing w:line="360" w:lineRule="auto"/>
        <w:ind w:firstLine="480" w:firstLineChars="200"/>
        <w:rPr>
          <w:sz w:val="24"/>
          <w:szCs w:val="21"/>
          <w:u w:val="single"/>
        </w:rPr>
      </w:pPr>
      <w:r>
        <w:rPr>
          <w:sz w:val="24"/>
          <w:szCs w:val="21"/>
        </w:rPr>
        <w:t>传   真：</w:t>
      </w:r>
    </w:p>
    <w:p>
      <w:pPr>
        <w:spacing w:line="360" w:lineRule="auto"/>
        <w:ind w:firstLine="480" w:firstLineChars="200"/>
        <w:rPr>
          <w:sz w:val="24"/>
          <w:szCs w:val="21"/>
        </w:rPr>
      </w:pPr>
      <w:r>
        <w:rPr>
          <w:sz w:val="24"/>
          <w:szCs w:val="21"/>
        </w:rPr>
        <w:t>8、我方正式开户银行和账号为：</w:t>
      </w:r>
    </w:p>
    <w:p>
      <w:pPr>
        <w:spacing w:line="360" w:lineRule="auto"/>
        <w:ind w:firstLine="480" w:firstLineChars="200"/>
        <w:rPr>
          <w:sz w:val="24"/>
          <w:szCs w:val="21"/>
          <w:u w:val="single"/>
        </w:rPr>
      </w:pPr>
      <w:r>
        <w:rPr>
          <w:sz w:val="24"/>
          <w:szCs w:val="21"/>
        </w:rPr>
        <w:t>开户银行：</w:t>
      </w:r>
    </w:p>
    <w:p>
      <w:pPr>
        <w:spacing w:line="360" w:lineRule="auto"/>
        <w:ind w:firstLine="480" w:firstLineChars="200"/>
        <w:rPr>
          <w:sz w:val="24"/>
          <w:szCs w:val="21"/>
        </w:rPr>
      </w:pPr>
      <w:r>
        <w:rPr>
          <w:sz w:val="24"/>
          <w:szCs w:val="21"/>
        </w:rPr>
        <w:t>账    号：</w:t>
      </w:r>
    </w:p>
    <w:p>
      <w:pPr>
        <w:spacing w:line="360" w:lineRule="auto"/>
        <w:ind w:firstLine="480" w:firstLineChars="200"/>
        <w:rPr>
          <w:sz w:val="24"/>
          <w:szCs w:val="21"/>
          <w:u w:val="single"/>
        </w:rPr>
      </w:pPr>
      <w:r>
        <w:rPr>
          <w:sz w:val="24"/>
          <w:szCs w:val="21"/>
        </w:rPr>
        <w:t>供应商授权代表姓名（签字或签章）：</w:t>
      </w:r>
    </w:p>
    <w:p>
      <w:pPr>
        <w:spacing w:line="360" w:lineRule="auto"/>
        <w:ind w:firstLine="480" w:firstLineChars="200"/>
        <w:rPr>
          <w:sz w:val="24"/>
          <w:szCs w:val="21"/>
        </w:rPr>
      </w:pPr>
      <w:r>
        <w:rPr>
          <w:sz w:val="24"/>
          <w:szCs w:val="21"/>
        </w:rPr>
        <w:t>供应商名称（公章）：</w:t>
      </w:r>
    </w:p>
    <w:p>
      <w:pPr>
        <w:spacing w:line="360" w:lineRule="auto"/>
        <w:ind w:firstLine="480" w:firstLineChars="200"/>
        <w:rPr>
          <w:sz w:val="24"/>
          <w:szCs w:val="21"/>
        </w:rPr>
      </w:pPr>
      <w:r>
        <w:rPr>
          <w:sz w:val="24"/>
          <w:szCs w:val="21"/>
        </w:rPr>
        <w:t>日    期：年月日</w:t>
      </w:r>
    </w:p>
    <w:p>
      <w:pPr>
        <w:spacing w:line="360" w:lineRule="auto"/>
        <w:rPr>
          <w:sz w:val="28"/>
          <w:szCs w:val="28"/>
        </w:rPr>
      </w:pPr>
      <w:r>
        <w:rPr>
          <w:sz w:val="24"/>
          <w:szCs w:val="21"/>
          <w:lang w:val="zh-CN"/>
        </w:rPr>
        <w:br w:type="page"/>
      </w:r>
      <w:r>
        <w:rPr>
          <w:sz w:val="28"/>
          <w:szCs w:val="28"/>
        </w:rPr>
        <w:t>附件二、投标人法定代表授权书（格式）</w:t>
      </w:r>
    </w:p>
    <w:p>
      <w:pPr>
        <w:spacing w:line="360" w:lineRule="auto"/>
        <w:rPr>
          <w:sz w:val="24"/>
        </w:rPr>
      </w:pPr>
    </w:p>
    <w:p>
      <w:pPr>
        <w:jc w:val="center"/>
        <w:rPr>
          <w:b/>
          <w:sz w:val="36"/>
          <w:szCs w:val="36"/>
        </w:rPr>
      </w:pPr>
      <w:r>
        <w:rPr>
          <w:b/>
          <w:sz w:val="36"/>
          <w:szCs w:val="36"/>
        </w:rPr>
        <w:t>法定代表人授权书</w:t>
      </w:r>
    </w:p>
    <w:p>
      <w:pPr>
        <w:autoSpaceDE w:val="0"/>
        <w:autoSpaceDN w:val="0"/>
        <w:adjustRightInd w:val="0"/>
        <w:spacing w:line="360" w:lineRule="auto"/>
        <w:rPr>
          <w:szCs w:val="21"/>
          <w:lang w:val="zh-CN"/>
        </w:rPr>
      </w:pPr>
    </w:p>
    <w:p>
      <w:pPr>
        <w:autoSpaceDE w:val="0"/>
        <w:autoSpaceDN w:val="0"/>
        <w:adjustRightInd w:val="0"/>
        <w:spacing w:line="360" w:lineRule="auto"/>
        <w:rPr>
          <w:sz w:val="24"/>
          <w:szCs w:val="21"/>
          <w:lang w:val="zh-CN"/>
        </w:rPr>
      </w:pPr>
      <w:r>
        <w:rPr>
          <w:sz w:val="24"/>
          <w:szCs w:val="21"/>
          <w:lang w:val="zh-CN"/>
        </w:rPr>
        <w:t>南京市疾病预防控制中心:</w:t>
      </w:r>
    </w:p>
    <w:p>
      <w:pPr>
        <w:autoSpaceDE w:val="0"/>
        <w:autoSpaceDN w:val="0"/>
        <w:adjustRightInd w:val="0"/>
        <w:spacing w:line="360" w:lineRule="auto"/>
        <w:ind w:firstLine="480" w:firstLineChars="200"/>
        <w:rPr>
          <w:sz w:val="24"/>
          <w:szCs w:val="21"/>
          <w:lang w:val="zh-CN"/>
        </w:rPr>
      </w:pPr>
      <w:r>
        <w:rPr>
          <w:sz w:val="24"/>
          <w:szCs w:val="21"/>
          <w:lang w:val="zh-CN"/>
        </w:rPr>
        <w:t>本授权书声明：注册于（供应商住址）的（供应商名称）法定代表人（法定代表人姓名、职务）代表本公司授权在下面签字的（供应商代表姓名、职务）为本公司的合法代理人，就贵方组织的项目名称，项目编号：采购活动，以本公司名义处理一切与之有关的事务。</w:t>
      </w:r>
    </w:p>
    <w:p>
      <w:pPr>
        <w:autoSpaceDE w:val="0"/>
        <w:autoSpaceDN w:val="0"/>
        <w:adjustRightInd w:val="0"/>
        <w:spacing w:line="360" w:lineRule="auto"/>
        <w:ind w:firstLine="480" w:firstLineChars="200"/>
        <w:rPr>
          <w:sz w:val="24"/>
          <w:szCs w:val="21"/>
          <w:lang w:val="zh-CN"/>
        </w:rPr>
      </w:pPr>
      <w:r>
        <w:rPr>
          <w:sz w:val="24"/>
          <w:szCs w:val="21"/>
          <w:lang w:val="zh-CN"/>
        </w:rPr>
        <w:t>本授权书于        年   月   日签字或签章生效，特此声明。</w:t>
      </w:r>
    </w:p>
    <w:p>
      <w:pPr>
        <w:autoSpaceDE w:val="0"/>
        <w:autoSpaceDN w:val="0"/>
        <w:adjustRightInd w:val="0"/>
        <w:spacing w:line="360" w:lineRule="auto"/>
        <w:ind w:firstLine="480" w:firstLineChars="200"/>
        <w:rPr>
          <w:sz w:val="24"/>
          <w:szCs w:val="21"/>
          <w:lang w:val="zh-CN"/>
        </w:rPr>
      </w:pPr>
      <w:r>
        <w:rPr>
          <w:sz w:val="24"/>
          <w:szCs w:val="21"/>
          <w:lang w:val="zh-CN"/>
        </w:rPr>
        <w:t>法定代表人签字或签章：</w:t>
      </w:r>
    </w:p>
    <w:p>
      <w:pPr>
        <w:autoSpaceDE w:val="0"/>
        <w:autoSpaceDN w:val="0"/>
        <w:adjustRightInd w:val="0"/>
        <w:spacing w:line="360" w:lineRule="auto"/>
        <w:ind w:firstLine="480" w:firstLineChars="200"/>
        <w:rPr>
          <w:sz w:val="24"/>
          <w:szCs w:val="21"/>
          <w:lang w:val="zh-CN"/>
        </w:rPr>
      </w:pPr>
      <w:r>
        <w:rPr>
          <w:sz w:val="24"/>
          <w:szCs w:val="21"/>
          <w:lang w:val="zh-CN"/>
        </w:rPr>
        <w:t xml:space="preserve">被授权人签字：    </w:t>
      </w:r>
    </w:p>
    <w:p>
      <w:pPr>
        <w:autoSpaceDE w:val="0"/>
        <w:autoSpaceDN w:val="0"/>
        <w:adjustRightInd w:val="0"/>
        <w:spacing w:line="360" w:lineRule="auto"/>
        <w:ind w:firstLine="480" w:firstLineChars="200"/>
        <w:rPr>
          <w:sz w:val="24"/>
          <w:szCs w:val="21"/>
          <w:lang w:val="zh-CN"/>
        </w:rPr>
      </w:pPr>
      <w:r>
        <w:rPr>
          <w:sz w:val="24"/>
          <w:szCs w:val="21"/>
        </w:rPr>
        <w:t>供应商盖章：</w:t>
      </w:r>
    </w:p>
    <w:p>
      <w:pPr>
        <w:tabs>
          <w:tab w:val="left" w:pos="1440"/>
        </w:tabs>
        <w:autoSpaceDE w:val="0"/>
        <w:autoSpaceDN w:val="0"/>
        <w:adjustRightInd w:val="0"/>
        <w:spacing w:line="360" w:lineRule="auto"/>
        <w:ind w:firstLine="480" w:firstLineChars="200"/>
        <w:rPr>
          <w:sz w:val="24"/>
          <w:szCs w:val="21"/>
          <w:lang w:val="zh-CN"/>
        </w:rPr>
      </w:pPr>
      <w:r>
        <w:rPr>
          <w:sz w:val="24"/>
          <w:szCs w:val="21"/>
          <w:lang w:val="zh-CN"/>
        </w:rPr>
        <w:t>日        期：        年    月    日</w:t>
      </w:r>
    </w:p>
    <w:p>
      <w:pPr>
        <w:autoSpaceDE w:val="0"/>
        <w:autoSpaceDN w:val="0"/>
        <w:adjustRightInd w:val="0"/>
        <w:spacing w:line="360" w:lineRule="auto"/>
        <w:rPr>
          <w:sz w:val="24"/>
          <w:szCs w:val="21"/>
          <w:lang w:val="zh-CN"/>
        </w:rPr>
      </w:pPr>
    </w:p>
    <w:p>
      <w:pPr>
        <w:autoSpaceDE w:val="0"/>
        <w:autoSpaceDN w:val="0"/>
        <w:adjustRightInd w:val="0"/>
        <w:spacing w:line="360" w:lineRule="auto"/>
        <w:ind w:firstLine="482" w:firstLineChars="200"/>
        <w:rPr>
          <w:b/>
          <w:sz w:val="24"/>
          <w:szCs w:val="21"/>
          <w:lang w:val="zh-CN"/>
        </w:rPr>
      </w:pPr>
      <w:r>
        <w:rPr>
          <w:b/>
          <w:kern w:val="0"/>
          <w:sz w:val="24"/>
          <w:szCs w:val="21"/>
        </w:rPr>
        <w:t>被授权人</w:t>
      </w:r>
      <w:r>
        <w:rPr>
          <w:b/>
          <w:kern w:val="0"/>
          <w:sz w:val="24"/>
          <w:szCs w:val="21"/>
          <w:lang w:val="zh-CN"/>
        </w:rPr>
        <w:t>的身份证明文件的复印件：</w:t>
      </w:r>
    </w:p>
    <w:p>
      <w:pPr>
        <w:spacing w:line="360" w:lineRule="auto"/>
        <w:rPr>
          <w:sz w:val="28"/>
          <w:szCs w:val="28"/>
        </w:rPr>
      </w:pPr>
      <w:r>
        <w:rPr>
          <w:sz w:val="24"/>
          <w:szCs w:val="21"/>
          <w:lang w:val="zh-CN"/>
        </w:rPr>
        <w:br w:type="page"/>
      </w:r>
      <w:r>
        <w:rPr>
          <w:sz w:val="28"/>
          <w:szCs w:val="28"/>
        </w:rPr>
        <w:t>附件三：报价单</w:t>
      </w:r>
    </w:p>
    <w:p>
      <w:pPr>
        <w:jc w:val="center"/>
        <w:rPr>
          <w:b/>
          <w:bCs/>
          <w:sz w:val="28"/>
          <w:szCs w:val="28"/>
        </w:rPr>
      </w:pPr>
    </w:p>
    <w:p>
      <w:pPr>
        <w:jc w:val="center"/>
        <w:rPr>
          <w:sz w:val="28"/>
          <w:szCs w:val="28"/>
        </w:rPr>
      </w:pPr>
      <w:r>
        <w:rPr>
          <w:b/>
          <w:bCs/>
          <w:sz w:val="28"/>
          <w:szCs w:val="28"/>
        </w:rPr>
        <w:t>南京市疾控中心项目服务报价单</w:t>
      </w:r>
    </w:p>
    <w:tbl>
      <w:tblPr>
        <w:tblStyle w:val="7"/>
        <w:tblW w:w="8430" w:type="dxa"/>
        <w:tblInd w:w="-118" w:type="dxa"/>
        <w:tblLayout w:type="fixed"/>
        <w:tblCellMar>
          <w:top w:w="0" w:type="dxa"/>
          <w:left w:w="0" w:type="dxa"/>
          <w:bottom w:w="0" w:type="dxa"/>
          <w:right w:w="0" w:type="dxa"/>
        </w:tblCellMar>
      </w:tblPr>
      <w:tblGrid>
        <w:gridCol w:w="3362"/>
        <w:gridCol w:w="5068"/>
      </w:tblGrid>
      <w:tr>
        <w:tblPrEx>
          <w:tblCellMar>
            <w:top w:w="0" w:type="dxa"/>
            <w:left w:w="0" w:type="dxa"/>
            <w:bottom w:w="0" w:type="dxa"/>
            <w:right w:w="0" w:type="dxa"/>
          </w:tblCellMar>
        </w:tblPrEx>
        <w:trPr>
          <w:trHeight w:val="1346" w:hRule="atLeast"/>
        </w:trPr>
        <w:tc>
          <w:tcPr>
            <w:tcW w:w="3362" w:type="dxa"/>
            <w:tcBorders>
              <w:top w:val="single" w:color="auto" w:sz="4" w:space="0"/>
              <w:left w:val="single" w:color="auto" w:sz="4" w:space="0"/>
              <w:bottom w:val="single" w:color="000000" w:sz="4" w:space="0"/>
              <w:right w:val="single" w:color="000000" w:sz="4" w:space="0"/>
            </w:tcBorders>
            <w:shd w:val="clear" w:color="auto" w:fill="A6A6A6"/>
            <w:noWrap/>
            <w:tcMar>
              <w:top w:w="15" w:type="dxa"/>
              <w:left w:w="15" w:type="dxa"/>
              <w:right w:w="15" w:type="dxa"/>
            </w:tcMar>
            <w:vAlign w:val="center"/>
          </w:tcPr>
          <w:p>
            <w:pPr>
              <w:widowControl/>
              <w:jc w:val="center"/>
              <w:textAlignment w:val="center"/>
              <w:rPr>
                <w:rFonts w:eastAsia="微软雅黑"/>
                <w:color w:val="FFFFFF"/>
                <w:sz w:val="22"/>
              </w:rPr>
            </w:pPr>
            <w:r>
              <w:rPr>
                <w:rFonts w:eastAsia="微软雅黑"/>
                <w:color w:val="FFFFFF"/>
                <w:kern w:val="0"/>
                <w:sz w:val="22"/>
                <w:szCs w:val="22"/>
              </w:rPr>
              <w:t>项目</w:t>
            </w:r>
          </w:p>
        </w:tc>
        <w:tc>
          <w:tcPr>
            <w:tcW w:w="5068" w:type="dxa"/>
            <w:tcBorders>
              <w:top w:val="single" w:color="auto" w:sz="4" w:space="0"/>
              <w:left w:val="single" w:color="000000" w:sz="4" w:space="0"/>
              <w:bottom w:val="single" w:color="000000" w:sz="4" w:space="0"/>
              <w:right w:val="single" w:color="000000" w:sz="4" w:space="0"/>
            </w:tcBorders>
            <w:shd w:val="clear" w:color="auto" w:fill="A6A6A6"/>
            <w:vAlign w:val="center"/>
          </w:tcPr>
          <w:p>
            <w:pPr>
              <w:widowControl/>
              <w:jc w:val="center"/>
              <w:textAlignment w:val="center"/>
              <w:rPr>
                <w:rFonts w:eastAsia="微软雅黑"/>
                <w:color w:val="FFFFFF"/>
                <w:sz w:val="22"/>
                <w:szCs w:val="22"/>
              </w:rPr>
            </w:pPr>
            <w:r>
              <w:rPr>
                <w:rFonts w:eastAsia="微软雅黑"/>
                <w:color w:val="FFFFFF"/>
                <w:sz w:val="22"/>
                <w:szCs w:val="22"/>
              </w:rPr>
              <w:t>12个月租赁价格（含税）</w:t>
            </w:r>
          </w:p>
        </w:tc>
      </w:tr>
      <w:tr>
        <w:tblPrEx>
          <w:tblCellMar>
            <w:top w:w="0" w:type="dxa"/>
            <w:left w:w="0" w:type="dxa"/>
            <w:bottom w:w="0" w:type="dxa"/>
            <w:right w:w="0" w:type="dxa"/>
          </w:tblCellMar>
        </w:tblPrEx>
        <w:trPr>
          <w:trHeight w:val="2358" w:hRule="atLeast"/>
        </w:trPr>
        <w:tc>
          <w:tcPr>
            <w:tcW w:w="336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480" w:firstLineChars="200"/>
              <w:rPr>
                <w:rFonts w:eastAsia="微软雅黑"/>
                <w:color w:val="404040"/>
                <w:sz w:val="22"/>
              </w:rPr>
            </w:pPr>
            <w:r>
              <w:rPr>
                <w:rFonts w:eastAsiaTheme="minorEastAsia"/>
                <w:sz w:val="24"/>
                <w:szCs w:val="24"/>
              </w:rPr>
              <w:t>数据平台租用</w:t>
            </w:r>
          </w:p>
        </w:tc>
        <w:tc>
          <w:tcPr>
            <w:tcW w:w="5068" w:type="dxa"/>
            <w:tcBorders>
              <w:top w:val="single" w:color="000000" w:sz="4" w:space="0"/>
              <w:left w:val="single" w:color="000000" w:sz="4" w:space="0"/>
              <w:bottom w:val="single" w:color="000000" w:sz="4" w:space="0"/>
              <w:right w:val="single" w:color="000000" w:sz="4" w:space="0"/>
            </w:tcBorders>
            <w:vAlign w:val="center"/>
          </w:tcPr>
          <w:p>
            <w:pPr>
              <w:jc w:val="center"/>
              <w:rPr>
                <w:rFonts w:eastAsia="微软雅黑"/>
                <w:color w:val="404040"/>
                <w:sz w:val="22"/>
              </w:rPr>
            </w:pPr>
          </w:p>
        </w:tc>
      </w:tr>
    </w:tbl>
    <w:p>
      <w:pPr>
        <w:widowControl/>
        <w:shd w:val="clear" w:color="auto" w:fill="FFFFFF"/>
        <w:spacing w:line="360" w:lineRule="auto"/>
        <w:jc w:val="right"/>
        <w:rPr>
          <w:kern w:val="0"/>
          <w:szCs w:val="21"/>
        </w:rPr>
      </w:pPr>
    </w:p>
    <w:p>
      <w:pPr>
        <w:widowControl/>
        <w:shd w:val="clear" w:color="auto" w:fill="FFFFFF"/>
        <w:spacing w:line="360" w:lineRule="auto"/>
        <w:jc w:val="right"/>
        <w:rPr>
          <w:kern w:val="0"/>
          <w:szCs w:val="21"/>
        </w:rPr>
      </w:pPr>
    </w:p>
    <w:p>
      <w:pPr>
        <w:widowControl/>
        <w:shd w:val="clear" w:color="auto" w:fill="FFFFFF"/>
        <w:spacing w:line="360" w:lineRule="auto"/>
        <w:jc w:val="right"/>
        <w:rPr>
          <w:kern w:val="0"/>
          <w:sz w:val="22"/>
          <w:szCs w:val="21"/>
        </w:rPr>
      </w:pPr>
      <w:r>
        <w:rPr>
          <w:kern w:val="0"/>
          <w:sz w:val="22"/>
          <w:szCs w:val="21"/>
        </w:rPr>
        <w:t>供应商（盖章）:</w:t>
      </w:r>
      <w:r>
        <w:rPr>
          <w:kern w:val="0"/>
          <w:sz w:val="22"/>
          <w:szCs w:val="21"/>
          <w:u w:val="single"/>
        </w:rPr>
        <w:t xml:space="preserve">            </w:t>
      </w:r>
    </w:p>
    <w:p>
      <w:pPr>
        <w:widowControl/>
        <w:shd w:val="clear" w:color="auto" w:fill="FFFFFF"/>
        <w:spacing w:line="360" w:lineRule="auto"/>
        <w:jc w:val="right"/>
        <w:rPr>
          <w:kern w:val="0"/>
          <w:sz w:val="22"/>
          <w:szCs w:val="21"/>
          <w:u w:val="single"/>
        </w:rPr>
      </w:pPr>
      <w:r>
        <w:rPr>
          <w:kern w:val="0"/>
          <w:sz w:val="22"/>
          <w:szCs w:val="21"/>
        </w:rPr>
        <w:t>授权代表（签字）：</w:t>
      </w:r>
      <w:r>
        <w:rPr>
          <w:kern w:val="0"/>
          <w:sz w:val="22"/>
          <w:szCs w:val="21"/>
          <w:u w:val="single"/>
        </w:rPr>
        <w:t>          </w:t>
      </w:r>
    </w:p>
    <w:p>
      <w:pPr>
        <w:widowControl/>
        <w:shd w:val="clear" w:color="auto" w:fill="FFFFFF"/>
        <w:spacing w:line="360" w:lineRule="auto"/>
        <w:jc w:val="right"/>
        <w:rPr>
          <w:kern w:val="0"/>
          <w:sz w:val="22"/>
          <w:szCs w:val="21"/>
        </w:rPr>
      </w:pPr>
      <w:r>
        <w:rPr>
          <w:kern w:val="0"/>
          <w:sz w:val="22"/>
          <w:szCs w:val="21"/>
        </w:rPr>
        <w:t>日    期：   年    月    日</w:t>
      </w:r>
    </w:p>
    <w:p>
      <w:pPr>
        <w:spacing w:line="360" w:lineRule="auto"/>
        <w:rPr>
          <w:b/>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b/>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8"/>
          <w:szCs w:val="28"/>
        </w:rPr>
      </w:pPr>
      <w:r>
        <w:rPr>
          <w:sz w:val="28"/>
          <w:szCs w:val="28"/>
        </w:rPr>
        <w:t>附件四：拟参与本项目人员一览表</w:t>
      </w:r>
    </w:p>
    <w:p>
      <w:pPr>
        <w:spacing w:line="360" w:lineRule="auto"/>
        <w:rPr>
          <w:sz w:val="24"/>
        </w:rPr>
      </w:pPr>
    </w:p>
    <w:p>
      <w:pPr>
        <w:spacing w:line="360" w:lineRule="auto"/>
        <w:jc w:val="center"/>
        <w:rPr>
          <w:sz w:val="28"/>
          <w:szCs w:val="28"/>
        </w:rPr>
      </w:pPr>
      <w:r>
        <w:rPr>
          <w:sz w:val="28"/>
          <w:szCs w:val="28"/>
        </w:rPr>
        <w:t>拟参与本项目人员一览表</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947"/>
        <w:gridCol w:w="948"/>
        <w:gridCol w:w="948"/>
        <w:gridCol w:w="948"/>
        <w:gridCol w:w="948"/>
        <w:gridCol w:w="948"/>
        <w:gridCol w:w="948"/>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555" w:type="pct"/>
          </w:tcPr>
          <w:p>
            <w:pPr>
              <w:spacing w:line="360" w:lineRule="auto"/>
              <w:rPr>
                <w:sz w:val="24"/>
              </w:rPr>
            </w:pPr>
            <w:r>
              <w:rPr>
                <w:sz w:val="24"/>
              </w:rPr>
              <w:t>序号</w:t>
            </w:r>
          </w:p>
        </w:tc>
        <w:tc>
          <w:tcPr>
            <w:tcW w:w="555" w:type="pct"/>
          </w:tcPr>
          <w:p>
            <w:pPr>
              <w:spacing w:line="360" w:lineRule="auto"/>
              <w:rPr>
                <w:sz w:val="24"/>
              </w:rPr>
            </w:pPr>
            <w:r>
              <w:rPr>
                <w:sz w:val="24"/>
              </w:rPr>
              <w:t>姓名</w:t>
            </w:r>
          </w:p>
        </w:tc>
        <w:tc>
          <w:tcPr>
            <w:tcW w:w="556" w:type="pct"/>
          </w:tcPr>
          <w:p>
            <w:pPr>
              <w:spacing w:line="360" w:lineRule="auto"/>
              <w:rPr>
                <w:sz w:val="24"/>
              </w:rPr>
            </w:pPr>
            <w:r>
              <w:rPr>
                <w:sz w:val="24"/>
              </w:rPr>
              <w:t>年龄</w:t>
            </w:r>
          </w:p>
        </w:tc>
        <w:tc>
          <w:tcPr>
            <w:tcW w:w="556" w:type="pct"/>
          </w:tcPr>
          <w:p>
            <w:pPr>
              <w:spacing w:line="360" w:lineRule="auto"/>
              <w:rPr>
                <w:szCs w:val="21"/>
              </w:rPr>
            </w:pPr>
            <w:r>
              <w:rPr>
                <w:szCs w:val="21"/>
              </w:rPr>
              <w:t>学历及专业</w:t>
            </w:r>
          </w:p>
        </w:tc>
        <w:tc>
          <w:tcPr>
            <w:tcW w:w="556" w:type="pct"/>
          </w:tcPr>
          <w:p>
            <w:pPr>
              <w:spacing w:line="360" w:lineRule="auto"/>
              <w:rPr>
                <w:szCs w:val="21"/>
              </w:rPr>
            </w:pPr>
            <w:r>
              <w:rPr>
                <w:szCs w:val="21"/>
              </w:rPr>
              <w:t>职业资格及证书号</w:t>
            </w:r>
          </w:p>
        </w:tc>
        <w:tc>
          <w:tcPr>
            <w:tcW w:w="556" w:type="pct"/>
          </w:tcPr>
          <w:p>
            <w:pPr>
              <w:spacing w:line="360" w:lineRule="auto"/>
              <w:rPr>
                <w:szCs w:val="21"/>
              </w:rPr>
            </w:pPr>
            <w:r>
              <w:rPr>
                <w:szCs w:val="21"/>
              </w:rPr>
              <w:t>技术职称</w:t>
            </w:r>
          </w:p>
        </w:tc>
        <w:tc>
          <w:tcPr>
            <w:tcW w:w="556" w:type="pct"/>
          </w:tcPr>
          <w:p>
            <w:pPr>
              <w:spacing w:line="360" w:lineRule="auto"/>
              <w:rPr>
                <w:szCs w:val="21"/>
              </w:rPr>
            </w:pPr>
            <w:r>
              <w:rPr>
                <w:szCs w:val="21"/>
              </w:rPr>
              <w:t>相关年限及工作经验</w:t>
            </w:r>
          </w:p>
        </w:tc>
        <w:tc>
          <w:tcPr>
            <w:tcW w:w="556" w:type="pct"/>
          </w:tcPr>
          <w:p>
            <w:pPr>
              <w:spacing w:line="360" w:lineRule="auto"/>
              <w:rPr>
                <w:szCs w:val="21"/>
              </w:rPr>
            </w:pPr>
            <w:r>
              <w:rPr>
                <w:szCs w:val="21"/>
              </w:rPr>
              <w:t>拟担任该项目何种工作</w:t>
            </w:r>
          </w:p>
        </w:tc>
        <w:tc>
          <w:tcPr>
            <w:tcW w:w="556" w:type="pct"/>
          </w:tcPr>
          <w:p>
            <w:pPr>
              <w:spacing w:line="360" w:lineRule="auto"/>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tcPr>
          <w:p>
            <w:pPr>
              <w:spacing w:line="360" w:lineRule="auto"/>
              <w:rPr>
                <w:sz w:val="24"/>
              </w:rPr>
            </w:pPr>
          </w:p>
        </w:tc>
        <w:tc>
          <w:tcPr>
            <w:tcW w:w="555"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tcPr>
          <w:p>
            <w:pPr>
              <w:spacing w:line="360" w:lineRule="auto"/>
              <w:rPr>
                <w:sz w:val="24"/>
              </w:rPr>
            </w:pPr>
          </w:p>
        </w:tc>
        <w:tc>
          <w:tcPr>
            <w:tcW w:w="555"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tcPr>
          <w:p>
            <w:pPr>
              <w:spacing w:line="360" w:lineRule="auto"/>
              <w:rPr>
                <w:sz w:val="24"/>
              </w:rPr>
            </w:pPr>
          </w:p>
        </w:tc>
        <w:tc>
          <w:tcPr>
            <w:tcW w:w="555"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tcPr>
          <w:p>
            <w:pPr>
              <w:spacing w:line="360" w:lineRule="auto"/>
              <w:rPr>
                <w:sz w:val="24"/>
              </w:rPr>
            </w:pPr>
          </w:p>
        </w:tc>
        <w:tc>
          <w:tcPr>
            <w:tcW w:w="555"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tcPr>
          <w:p>
            <w:pPr>
              <w:spacing w:line="360" w:lineRule="auto"/>
              <w:rPr>
                <w:sz w:val="24"/>
              </w:rPr>
            </w:pPr>
          </w:p>
        </w:tc>
        <w:tc>
          <w:tcPr>
            <w:tcW w:w="555"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tcPr>
          <w:p>
            <w:pPr>
              <w:spacing w:line="360" w:lineRule="auto"/>
              <w:rPr>
                <w:sz w:val="24"/>
              </w:rPr>
            </w:pPr>
          </w:p>
        </w:tc>
        <w:tc>
          <w:tcPr>
            <w:tcW w:w="555"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c>
          <w:tcPr>
            <w:tcW w:w="556" w:type="pct"/>
          </w:tcPr>
          <w:p>
            <w:pPr>
              <w:spacing w:line="360" w:lineRule="auto"/>
              <w:rPr>
                <w:sz w:val="24"/>
              </w:rPr>
            </w:pPr>
          </w:p>
        </w:tc>
      </w:tr>
    </w:tbl>
    <w:p>
      <w:pPr>
        <w:spacing w:line="360" w:lineRule="auto"/>
        <w:rPr>
          <w:sz w:val="24"/>
        </w:rPr>
      </w:pPr>
    </w:p>
    <w:p>
      <w:pPr>
        <w:widowControl/>
        <w:shd w:val="clear" w:color="auto" w:fill="FFFFFF"/>
        <w:spacing w:line="360" w:lineRule="auto"/>
        <w:jc w:val="right"/>
        <w:rPr>
          <w:kern w:val="0"/>
          <w:sz w:val="22"/>
          <w:szCs w:val="21"/>
        </w:rPr>
      </w:pPr>
    </w:p>
    <w:p>
      <w:pPr>
        <w:widowControl/>
        <w:shd w:val="clear" w:color="auto" w:fill="FFFFFF"/>
        <w:spacing w:line="360" w:lineRule="auto"/>
        <w:jc w:val="right"/>
        <w:rPr>
          <w:kern w:val="0"/>
          <w:sz w:val="22"/>
          <w:szCs w:val="21"/>
        </w:rPr>
      </w:pPr>
    </w:p>
    <w:p>
      <w:pPr>
        <w:widowControl/>
        <w:shd w:val="clear" w:color="auto" w:fill="FFFFFF"/>
        <w:spacing w:line="360" w:lineRule="auto"/>
        <w:jc w:val="right"/>
        <w:rPr>
          <w:kern w:val="0"/>
          <w:sz w:val="22"/>
          <w:szCs w:val="21"/>
        </w:rPr>
      </w:pPr>
    </w:p>
    <w:p>
      <w:pPr>
        <w:widowControl/>
        <w:shd w:val="clear" w:color="auto" w:fill="FFFFFF"/>
        <w:spacing w:line="360" w:lineRule="auto"/>
        <w:jc w:val="right"/>
        <w:rPr>
          <w:kern w:val="0"/>
          <w:sz w:val="22"/>
          <w:szCs w:val="21"/>
        </w:rPr>
      </w:pPr>
      <w:r>
        <w:rPr>
          <w:kern w:val="0"/>
          <w:sz w:val="22"/>
          <w:szCs w:val="21"/>
        </w:rPr>
        <w:t>供应商（盖章）:</w:t>
      </w:r>
      <w:r>
        <w:rPr>
          <w:kern w:val="0"/>
          <w:sz w:val="22"/>
          <w:szCs w:val="21"/>
          <w:u w:val="single"/>
        </w:rPr>
        <w:t xml:space="preserve">            </w:t>
      </w:r>
    </w:p>
    <w:p>
      <w:pPr>
        <w:widowControl/>
        <w:shd w:val="clear" w:color="auto" w:fill="FFFFFF"/>
        <w:spacing w:line="360" w:lineRule="auto"/>
        <w:jc w:val="right"/>
        <w:rPr>
          <w:kern w:val="0"/>
          <w:sz w:val="22"/>
          <w:szCs w:val="21"/>
          <w:u w:val="single"/>
        </w:rPr>
      </w:pPr>
      <w:r>
        <w:rPr>
          <w:kern w:val="0"/>
          <w:sz w:val="22"/>
          <w:szCs w:val="21"/>
        </w:rPr>
        <w:t>授权代表（签字）：</w:t>
      </w:r>
      <w:r>
        <w:rPr>
          <w:kern w:val="0"/>
          <w:sz w:val="22"/>
          <w:szCs w:val="21"/>
          <w:u w:val="single"/>
        </w:rPr>
        <w:t>          </w:t>
      </w:r>
    </w:p>
    <w:p>
      <w:pPr>
        <w:widowControl/>
        <w:shd w:val="clear" w:color="auto" w:fill="FFFFFF"/>
        <w:spacing w:line="360" w:lineRule="auto"/>
        <w:jc w:val="right"/>
        <w:rPr>
          <w:kern w:val="0"/>
          <w:sz w:val="22"/>
          <w:szCs w:val="21"/>
        </w:rPr>
      </w:pPr>
      <w:r>
        <w:rPr>
          <w:kern w:val="0"/>
          <w:sz w:val="22"/>
          <w:szCs w:val="21"/>
        </w:rPr>
        <w:t>日    期：   年    月    日</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jc w:val="left"/>
        <w:rPr>
          <w:sz w:val="28"/>
          <w:szCs w:val="28"/>
        </w:rPr>
      </w:pPr>
      <w:r>
        <w:rPr>
          <w:sz w:val="28"/>
          <w:szCs w:val="28"/>
        </w:rPr>
        <w:t xml:space="preserve">附件五：供应商类似业绩情况表 </w:t>
      </w:r>
    </w:p>
    <w:p>
      <w:pPr>
        <w:spacing w:line="360" w:lineRule="auto"/>
        <w:rPr>
          <w:sz w:val="24"/>
        </w:rPr>
      </w:pPr>
    </w:p>
    <w:p>
      <w:pPr>
        <w:spacing w:line="360" w:lineRule="auto"/>
        <w:jc w:val="center"/>
        <w:rPr>
          <w:sz w:val="28"/>
          <w:szCs w:val="28"/>
        </w:rPr>
      </w:pPr>
      <w:r>
        <w:rPr>
          <w:sz w:val="28"/>
          <w:szCs w:val="28"/>
        </w:rPr>
        <w:t>供应商类似业绩情况表</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1217"/>
        <w:gridCol w:w="1220"/>
        <w:gridCol w:w="1220"/>
        <w:gridCol w:w="1220"/>
        <w:gridCol w:w="1220"/>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716" w:type="pct"/>
          </w:tcPr>
          <w:p>
            <w:pPr>
              <w:spacing w:line="360" w:lineRule="auto"/>
              <w:rPr>
                <w:sz w:val="24"/>
              </w:rPr>
            </w:pPr>
            <w:r>
              <w:rPr>
                <w:sz w:val="24"/>
              </w:rPr>
              <w:t>序号</w:t>
            </w:r>
          </w:p>
        </w:tc>
        <w:tc>
          <w:tcPr>
            <w:tcW w:w="714" w:type="pct"/>
          </w:tcPr>
          <w:p>
            <w:pPr>
              <w:spacing w:line="360" w:lineRule="auto"/>
              <w:rPr>
                <w:sz w:val="24"/>
              </w:rPr>
            </w:pPr>
            <w:r>
              <w:rPr>
                <w:sz w:val="24"/>
              </w:rPr>
              <w:t>项目名称</w:t>
            </w:r>
          </w:p>
        </w:tc>
        <w:tc>
          <w:tcPr>
            <w:tcW w:w="715" w:type="pct"/>
          </w:tcPr>
          <w:p>
            <w:pPr>
              <w:spacing w:line="360" w:lineRule="auto"/>
              <w:rPr>
                <w:sz w:val="24"/>
              </w:rPr>
            </w:pPr>
            <w:r>
              <w:rPr>
                <w:sz w:val="24"/>
              </w:rPr>
              <w:t>业主单位</w:t>
            </w:r>
          </w:p>
        </w:tc>
        <w:tc>
          <w:tcPr>
            <w:tcW w:w="715" w:type="pct"/>
          </w:tcPr>
          <w:p>
            <w:pPr>
              <w:spacing w:line="360" w:lineRule="auto"/>
              <w:rPr>
                <w:szCs w:val="21"/>
              </w:rPr>
            </w:pPr>
            <w:r>
              <w:rPr>
                <w:szCs w:val="21"/>
              </w:rPr>
              <w:t>业主联系方式</w:t>
            </w:r>
          </w:p>
        </w:tc>
        <w:tc>
          <w:tcPr>
            <w:tcW w:w="715" w:type="pct"/>
          </w:tcPr>
          <w:p>
            <w:pPr>
              <w:spacing w:line="360" w:lineRule="auto"/>
              <w:rPr>
                <w:szCs w:val="21"/>
              </w:rPr>
            </w:pPr>
            <w:r>
              <w:rPr>
                <w:szCs w:val="21"/>
              </w:rPr>
              <w:t>工作主要内容</w:t>
            </w:r>
          </w:p>
        </w:tc>
        <w:tc>
          <w:tcPr>
            <w:tcW w:w="715" w:type="pct"/>
          </w:tcPr>
          <w:p>
            <w:pPr>
              <w:spacing w:line="360" w:lineRule="auto"/>
              <w:rPr>
                <w:szCs w:val="21"/>
              </w:rPr>
            </w:pPr>
            <w:r>
              <w:rPr>
                <w:szCs w:val="21"/>
              </w:rPr>
              <w:t>合同金额</w:t>
            </w:r>
          </w:p>
        </w:tc>
        <w:tc>
          <w:tcPr>
            <w:tcW w:w="711" w:type="pct"/>
          </w:tcPr>
          <w:p>
            <w:pPr>
              <w:spacing w:line="360" w:lineRule="auto"/>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pct"/>
          </w:tcPr>
          <w:p>
            <w:pPr>
              <w:spacing w:line="360" w:lineRule="auto"/>
              <w:rPr>
                <w:sz w:val="24"/>
              </w:rPr>
            </w:pPr>
          </w:p>
        </w:tc>
        <w:tc>
          <w:tcPr>
            <w:tcW w:w="714" w:type="pct"/>
          </w:tcPr>
          <w:p>
            <w:pPr>
              <w:spacing w:line="360" w:lineRule="auto"/>
              <w:rPr>
                <w:sz w:val="24"/>
              </w:rPr>
            </w:pPr>
          </w:p>
        </w:tc>
        <w:tc>
          <w:tcPr>
            <w:tcW w:w="715" w:type="pct"/>
          </w:tcPr>
          <w:p>
            <w:pPr>
              <w:spacing w:line="360" w:lineRule="auto"/>
              <w:rPr>
                <w:sz w:val="24"/>
              </w:rPr>
            </w:pPr>
          </w:p>
        </w:tc>
        <w:tc>
          <w:tcPr>
            <w:tcW w:w="715" w:type="pct"/>
          </w:tcPr>
          <w:p>
            <w:pPr>
              <w:spacing w:line="360" w:lineRule="auto"/>
              <w:rPr>
                <w:sz w:val="24"/>
              </w:rPr>
            </w:pPr>
          </w:p>
        </w:tc>
        <w:tc>
          <w:tcPr>
            <w:tcW w:w="715" w:type="pct"/>
          </w:tcPr>
          <w:p>
            <w:pPr>
              <w:spacing w:line="360" w:lineRule="auto"/>
              <w:rPr>
                <w:sz w:val="24"/>
              </w:rPr>
            </w:pPr>
          </w:p>
        </w:tc>
        <w:tc>
          <w:tcPr>
            <w:tcW w:w="715" w:type="pct"/>
          </w:tcPr>
          <w:p>
            <w:pPr>
              <w:spacing w:line="360" w:lineRule="auto"/>
              <w:rPr>
                <w:sz w:val="24"/>
              </w:rPr>
            </w:pPr>
          </w:p>
        </w:tc>
        <w:tc>
          <w:tcPr>
            <w:tcW w:w="711" w:type="pct"/>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pct"/>
          </w:tcPr>
          <w:p>
            <w:pPr>
              <w:spacing w:line="360" w:lineRule="auto"/>
              <w:rPr>
                <w:sz w:val="24"/>
              </w:rPr>
            </w:pPr>
          </w:p>
        </w:tc>
        <w:tc>
          <w:tcPr>
            <w:tcW w:w="714" w:type="pct"/>
          </w:tcPr>
          <w:p>
            <w:pPr>
              <w:spacing w:line="360" w:lineRule="auto"/>
              <w:rPr>
                <w:sz w:val="24"/>
              </w:rPr>
            </w:pPr>
          </w:p>
        </w:tc>
        <w:tc>
          <w:tcPr>
            <w:tcW w:w="715" w:type="pct"/>
          </w:tcPr>
          <w:p>
            <w:pPr>
              <w:spacing w:line="360" w:lineRule="auto"/>
              <w:rPr>
                <w:sz w:val="24"/>
              </w:rPr>
            </w:pPr>
          </w:p>
        </w:tc>
        <w:tc>
          <w:tcPr>
            <w:tcW w:w="715" w:type="pct"/>
          </w:tcPr>
          <w:p>
            <w:pPr>
              <w:spacing w:line="360" w:lineRule="auto"/>
              <w:rPr>
                <w:sz w:val="24"/>
              </w:rPr>
            </w:pPr>
          </w:p>
        </w:tc>
        <w:tc>
          <w:tcPr>
            <w:tcW w:w="715" w:type="pct"/>
          </w:tcPr>
          <w:p>
            <w:pPr>
              <w:spacing w:line="360" w:lineRule="auto"/>
              <w:rPr>
                <w:sz w:val="24"/>
              </w:rPr>
            </w:pPr>
          </w:p>
        </w:tc>
        <w:tc>
          <w:tcPr>
            <w:tcW w:w="715" w:type="pct"/>
          </w:tcPr>
          <w:p>
            <w:pPr>
              <w:spacing w:line="360" w:lineRule="auto"/>
              <w:rPr>
                <w:sz w:val="24"/>
              </w:rPr>
            </w:pPr>
          </w:p>
        </w:tc>
        <w:tc>
          <w:tcPr>
            <w:tcW w:w="711" w:type="pct"/>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pct"/>
          </w:tcPr>
          <w:p>
            <w:pPr>
              <w:spacing w:line="360" w:lineRule="auto"/>
              <w:rPr>
                <w:sz w:val="24"/>
              </w:rPr>
            </w:pPr>
          </w:p>
        </w:tc>
        <w:tc>
          <w:tcPr>
            <w:tcW w:w="714" w:type="pct"/>
          </w:tcPr>
          <w:p>
            <w:pPr>
              <w:spacing w:line="360" w:lineRule="auto"/>
              <w:rPr>
                <w:sz w:val="24"/>
              </w:rPr>
            </w:pPr>
          </w:p>
        </w:tc>
        <w:tc>
          <w:tcPr>
            <w:tcW w:w="715" w:type="pct"/>
          </w:tcPr>
          <w:p>
            <w:pPr>
              <w:spacing w:line="360" w:lineRule="auto"/>
              <w:rPr>
                <w:sz w:val="24"/>
              </w:rPr>
            </w:pPr>
          </w:p>
        </w:tc>
        <w:tc>
          <w:tcPr>
            <w:tcW w:w="715" w:type="pct"/>
          </w:tcPr>
          <w:p>
            <w:pPr>
              <w:spacing w:line="360" w:lineRule="auto"/>
              <w:rPr>
                <w:sz w:val="24"/>
              </w:rPr>
            </w:pPr>
          </w:p>
        </w:tc>
        <w:tc>
          <w:tcPr>
            <w:tcW w:w="715" w:type="pct"/>
          </w:tcPr>
          <w:p>
            <w:pPr>
              <w:spacing w:line="360" w:lineRule="auto"/>
              <w:rPr>
                <w:sz w:val="24"/>
              </w:rPr>
            </w:pPr>
          </w:p>
        </w:tc>
        <w:tc>
          <w:tcPr>
            <w:tcW w:w="715" w:type="pct"/>
          </w:tcPr>
          <w:p>
            <w:pPr>
              <w:spacing w:line="360" w:lineRule="auto"/>
              <w:rPr>
                <w:sz w:val="24"/>
              </w:rPr>
            </w:pPr>
          </w:p>
        </w:tc>
        <w:tc>
          <w:tcPr>
            <w:tcW w:w="711" w:type="pct"/>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pct"/>
          </w:tcPr>
          <w:p>
            <w:pPr>
              <w:spacing w:line="360" w:lineRule="auto"/>
              <w:rPr>
                <w:sz w:val="24"/>
              </w:rPr>
            </w:pPr>
          </w:p>
        </w:tc>
        <w:tc>
          <w:tcPr>
            <w:tcW w:w="714" w:type="pct"/>
          </w:tcPr>
          <w:p>
            <w:pPr>
              <w:spacing w:line="360" w:lineRule="auto"/>
              <w:rPr>
                <w:sz w:val="24"/>
              </w:rPr>
            </w:pPr>
          </w:p>
        </w:tc>
        <w:tc>
          <w:tcPr>
            <w:tcW w:w="715" w:type="pct"/>
          </w:tcPr>
          <w:p>
            <w:pPr>
              <w:spacing w:line="360" w:lineRule="auto"/>
              <w:rPr>
                <w:sz w:val="24"/>
              </w:rPr>
            </w:pPr>
          </w:p>
        </w:tc>
        <w:tc>
          <w:tcPr>
            <w:tcW w:w="715" w:type="pct"/>
          </w:tcPr>
          <w:p>
            <w:pPr>
              <w:spacing w:line="360" w:lineRule="auto"/>
              <w:rPr>
                <w:sz w:val="24"/>
              </w:rPr>
            </w:pPr>
          </w:p>
        </w:tc>
        <w:tc>
          <w:tcPr>
            <w:tcW w:w="715" w:type="pct"/>
          </w:tcPr>
          <w:p>
            <w:pPr>
              <w:spacing w:line="360" w:lineRule="auto"/>
              <w:rPr>
                <w:sz w:val="24"/>
              </w:rPr>
            </w:pPr>
          </w:p>
        </w:tc>
        <w:tc>
          <w:tcPr>
            <w:tcW w:w="715" w:type="pct"/>
          </w:tcPr>
          <w:p>
            <w:pPr>
              <w:spacing w:line="360" w:lineRule="auto"/>
              <w:rPr>
                <w:sz w:val="24"/>
              </w:rPr>
            </w:pPr>
          </w:p>
        </w:tc>
        <w:tc>
          <w:tcPr>
            <w:tcW w:w="711" w:type="pct"/>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pct"/>
          </w:tcPr>
          <w:p>
            <w:pPr>
              <w:spacing w:line="360" w:lineRule="auto"/>
              <w:rPr>
                <w:sz w:val="24"/>
              </w:rPr>
            </w:pPr>
          </w:p>
        </w:tc>
        <w:tc>
          <w:tcPr>
            <w:tcW w:w="714" w:type="pct"/>
          </w:tcPr>
          <w:p>
            <w:pPr>
              <w:spacing w:line="360" w:lineRule="auto"/>
              <w:rPr>
                <w:sz w:val="24"/>
              </w:rPr>
            </w:pPr>
          </w:p>
        </w:tc>
        <w:tc>
          <w:tcPr>
            <w:tcW w:w="715" w:type="pct"/>
          </w:tcPr>
          <w:p>
            <w:pPr>
              <w:spacing w:line="360" w:lineRule="auto"/>
              <w:rPr>
                <w:sz w:val="24"/>
              </w:rPr>
            </w:pPr>
          </w:p>
        </w:tc>
        <w:tc>
          <w:tcPr>
            <w:tcW w:w="715" w:type="pct"/>
          </w:tcPr>
          <w:p>
            <w:pPr>
              <w:spacing w:line="360" w:lineRule="auto"/>
              <w:rPr>
                <w:sz w:val="24"/>
              </w:rPr>
            </w:pPr>
          </w:p>
        </w:tc>
        <w:tc>
          <w:tcPr>
            <w:tcW w:w="715" w:type="pct"/>
          </w:tcPr>
          <w:p>
            <w:pPr>
              <w:spacing w:line="360" w:lineRule="auto"/>
              <w:rPr>
                <w:sz w:val="24"/>
              </w:rPr>
            </w:pPr>
          </w:p>
        </w:tc>
        <w:tc>
          <w:tcPr>
            <w:tcW w:w="715" w:type="pct"/>
          </w:tcPr>
          <w:p>
            <w:pPr>
              <w:spacing w:line="360" w:lineRule="auto"/>
              <w:rPr>
                <w:sz w:val="24"/>
              </w:rPr>
            </w:pPr>
          </w:p>
        </w:tc>
        <w:tc>
          <w:tcPr>
            <w:tcW w:w="711" w:type="pct"/>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pct"/>
          </w:tcPr>
          <w:p>
            <w:pPr>
              <w:spacing w:line="360" w:lineRule="auto"/>
              <w:rPr>
                <w:sz w:val="24"/>
              </w:rPr>
            </w:pPr>
          </w:p>
        </w:tc>
        <w:tc>
          <w:tcPr>
            <w:tcW w:w="714" w:type="pct"/>
          </w:tcPr>
          <w:p>
            <w:pPr>
              <w:spacing w:line="360" w:lineRule="auto"/>
              <w:rPr>
                <w:sz w:val="24"/>
              </w:rPr>
            </w:pPr>
          </w:p>
        </w:tc>
        <w:tc>
          <w:tcPr>
            <w:tcW w:w="715" w:type="pct"/>
          </w:tcPr>
          <w:p>
            <w:pPr>
              <w:spacing w:line="360" w:lineRule="auto"/>
              <w:rPr>
                <w:sz w:val="24"/>
              </w:rPr>
            </w:pPr>
          </w:p>
        </w:tc>
        <w:tc>
          <w:tcPr>
            <w:tcW w:w="715" w:type="pct"/>
          </w:tcPr>
          <w:p>
            <w:pPr>
              <w:spacing w:line="360" w:lineRule="auto"/>
              <w:rPr>
                <w:sz w:val="24"/>
              </w:rPr>
            </w:pPr>
          </w:p>
        </w:tc>
        <w:tc>
          <w:tcPr>
            <w:tcW w:w="715" w:type="pct"/>
          </w:tcPr>
          <w:p>
            <w:pPr>
              <w:spacing w:line="360" w:lineRule="auto"/>
              <w:rPr>
                <w:sz w:val="24"/>
              </w:rPr>
            </w:pPr>
          </w:p>
        </w:tc>
        <w:tc>
          <w:tcPr>
            <w:tcW w:w="715" w:type="pct"/>
          </w:tcPr>
          <w:p>
            <w:pPr>
              <w:spacing w:line="360" w:lineRule="auto"/>
              <w:rPr>
                <w:sz w:val="24"/>
              </w:rPr>
            </w:pPr>
          </w:p>
        </w:tc>
        <w:tc>
          <w:tcPr>
            <w:tcW w:w="711" w:type="pct"/>
          </w:tcPr>
          <w:p>
            <w:pPr>
              <w:spacing w:line="360" w:lineRule="auto"/>
              <w:rPr>
                <w:sz w:val="24"/>
              </w:rPr>
            </w:pPr>
          </w:p>
        </w:tc>
      </w:tr>
    </w:tbl>
    <w:p>
      <w:pPr>
        <w:spacing w:line="360" w:lineRule="auto"/>
        <w:rPr>
          <w:sz w:val="24"/>
        </w:rPr>
      </w:pPr>
    </w:p>
    <w:p>
      <w:pPr>
        <w:widowControl/>
        <w:shd w:val="clear" w:color="auto" w:fill="FFFFFF"/>
        <w:spacing w:line="360" w:lineRule="auto"/>
        <w:jc w:val="right"/>
        <w:rPr>
          <w:kern w:val="0"/>
          <w:sz w:val="22"/>
          <w:szCs w:val="21"/>
        </w:rPr>
      </w:pPr>
    </w:p>
    <w:p>
      <w:pPr>
        <w:widowControl/>
        <w:shd w:val="clear" w:color="auto" w:fill="FFFFFF"/>
        <w:spacing w:line="360" w:lineRule="auto"/>
        <w:jc w:val="right"/>
        <w:rPr>
          <w:kern w:val="0"/>
          <w:sz w:val="22"/>
          <w:szCs w:val="21"/>
        </w:rPr>
      </w:pPr>
    </w:p>
    <w:p>
      <w:pPr>
        <w:widowControl/>
        <w:shd w:val="clear" w:color="auto" w:fill="FFFFFF"/>
        <w:spacing w:line="360" w:lineRule="auto"/>
        <w:jc w:val="right"/>
        <w:rPr>
          <w:kern w:val="0"/>
          <w:sz w:val="22"/>
          <w:szCs w:val="21"/>
        </w:rPr>
      </w:pPr>
    </w:p>
    <w:p>
      <w:pPr>
        <w:widowControl/>
        <w:shd w:val="clear" w:color="auto" w:fill="FFFFFF"/>
        <w:spacing w:line="360" w:lineRule="auto"/>
        <w:jc w:val="right"/>
        <w:rPr>
          <w:kern w:val="0"/>
          <w:sz w:val="22"/>
          <w:szCs w:val="21"/>
        </w:rPr>
      </w:pPr>
      <w:r>
        <w:rPr>
          <w:kern w:val="0"/>
          <w:sz w:val="22"/>
          <w:szCs w:val="21"/>
        </w:rPr>
        <w:t>供应商（盖章）:</w:t>
      </w:r>
      <w:r>
        <w:rPr>
          <w:kern w:val="0"/>
          <w:sz w:val="22"/>
          <w:szCs w:val="21"/>
          <w:u w:val="single"/>
        </w:rPr>
        <w:t xml:space="preserve">            </w:t>
      </w:r>
    </w:p>
    <w:p>
      <w:pPr>
        <w:widowControl/>
        <w:shd w:val="clear" w:color="auto" w:fill="FFFFFF"/>
        <w:spacing w:line="360" w:lineRule="auto"/>
        <w:jc w:val="right"/>
        <w:rPr>
          <w:kern w:val="0"/>
          <w:sz w:val="22"/>
          <w:szCs w:val="21"/>
          <w:u w:val="single"/>
        </w:rPr>
      </w:pPr>
      <w:r>
        <w:rPr>
          <w:kern w:val="0"/>
          <w:sz w:val="22"/>
          <w:szCs w:val="21"/>
        </w:rPr>
        <w:t>授权代表（签字）：</w:t>
      </w:r>
      <w:r>
        <w:rPr>
          <w:kern w:val="0"/>
          <w:sz w:val="22"/>
          <w:szCs w:val="21"/>
          <w:u w:val="single"/>
        </w:rPr>
        <w:t>          </w:t>
      </w:r>
    </w:p>
    <w:p>
      <w:pPr>
        <w:widowControl/>
        <w:shd w:val="clear" w:color="auto" w:fill="FFFFFF"/>
        <w:spacing w:line="360" w:lineRule="auto"/>
        <w:jc w:val="right"/>
        <w:rPr>
          <w:kern w:val="0"/>
          <w:sz w:val="22"/>
          <w:szCs w:val="21"/>
        </w:rPr>
      </w:pPr>
      <w:r>
        <w:rPr>
          <w:kern w:val="0"/>
          <w:sz w:val="22"/>
          <w:szCs w:val="21"/>
        </w:rPr>
        <w:t>日    期：   年    月    日</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jc w:val="left"/>
        <w:rPr>
          <w:sz w:val="28"/>
          <w:szCs w:val="28"/>
        </w:rPr>
      </w:pPr>
      <w:bookmarkStart w:id="0" w:name="_Toc524939783"/>
      <w:r>
        <w:rPr>
          <w:sz w:val="28"/>
          <w:szCs w:val="28"/>
        </w:rPr>
        <w:t>附件六、无重大违法记录声明（格式）</w:t>
      </w:r>
    </w:p>
    <w:bookmarkEnd w:id="0"/>
    <w:p>
      <w:pPr>
        <w:spacing w:line="240" w:lineRule="atLeast"/>
        <w:jc w:val="center"/>
        <w:rPr>
          <w:rFonts w:eastAsia="黑体"/>
          <w:sz w:val="28"/>
          <w:szCs w:val="36"/>
        </w:rPr>
      </w:pPr>
    </w:p>
    <w:p>
      <w:pPr>
        <w:jc w:val="center"/>
        <w:rPr>
          <w:b/>
          <w:sz w:val="36"/>
          <w:szCs w:val="36"/>
        </w:rPr>
      </w:pPr>
      <w:r>
        <w:rPr>
          <w:b/>
          <w:sz w:val="36"/>
          <w:szCs w:val="36"/>
        </w:rPr>
        <w:t>无重大违法记录声明</w:t>
      </w:r>
    </w:p>
    <w:p>
      <w:pPr>
        <w:spacing w:line="360" w:lineRule="auto"/>
        <w:rPr>
          <w:rFonts w:eastAsia="黑体"/>
          <w:szCs w:val="21"/>
        </w:rPr>
      </w:pPr>
    </w:p>
    <w:p>
      <w:pPr>
        <w:spacing w:line="360" w:lineRule="auto"/>
        <w:rPr>
          <w:sz w:val="24"/>
          <w:szCs w:val="21"/>
        </w:rPr>
      </w:pPr>
      <w:r>
        <w:rPr>
          <w:sz w:val="24"/>
          <w:szCs w:val="21"/>
        </w:rPr>
        <w:t>南京市疾病预防控制中心：</w:t>
      </w:r>
    </w:p>
    <w:p>
      <w:pPr>
        <w:spacing w:line="360" w:lineRule="auto"/>
        <w:rPr>
          <w:sz w:val="24"/>
        </w:rPr>
      </w:pPr>
    </w:p>
    <w:p>
      <w:pPr>
        <w:widowControl/>
        <w:shd w:val="clear" w:color="auto" w:fill="FFFFFF"/>
        <w:spacing w:line="360" w:lineRule="auto"/>
        <w:ind w:firstLine="420"/>
        <w:rPr>
          <w:kern w:val="0"/>
          <w:sz w:val="24"/>
          <w:szCs w:val="21"/>
        </w:rPr>
      </w:pPr>
      <w:r>
        <w:rPr>
          <w:kern w:val="0"/>
          <w:sz w:val="24"/>
          <w:szCs w:val="21"/>
        </w:rPr>
        <w:t>我单位（供应商名称）宣布声明和承诺如下：</w:t>
      </w:r>
    </w:p>
    <w:p>
      <w:pPr>
        <w:widowControl/>
        <w:shd w:val="clear" w:color="auto" w:fill="FFFFFF"/>
        <w:spacing w:line="360" w:lineRule="auto"/>
        <w:ind w:firstLine="354" w:firstLineChars="147"/>
        <w:rPr>
          <w:b/>
          <w:kern w:val="0"/>
          <w:sz w:val="24"/>
          <w:szCs w:val="21"/>
        </w:rPr>
      </w:pPr>
      <w:r>
        <w:rPr>
          <w:b/>
          <w:kern w:val="0"/>
          <w:sz w:val="24"/>
          <w:szCs w:val="21"/>
        </w:rPr>
        <w:t xml:space="preserve"> 我单位参加本次采购活动前3年内在经营活动中没有重大违法记录，且不是失信被执行人、重大税收违法案件当事人名单、政府采购严重违法失信行为记录名单的供应商。</w:t>
      </w:r>
    </w:p>
    <w:p>
      <w:pPr>
        <w:spacing w:line="360" w:lineRule="auto"/>
        <w:ind w:firstLine="360" w:firstLineChars="150"/>
        <w:rPr>
          <w:sz w:val="24"/>
        </w:rPr>
      </w:pPr>
      <w:r>
        <w:rPr>
          <w:sz w:val="24"/>
        </w:rPr>
        <w:t>（说明：政府采购法第二十二条第一款第五项所称重大违法记录，是指供应商因违法经营受到刑事处罚或者责令停产停业、吊销许可证或者执照、较大数额罚款等行政处罚。）</w:t>
      </w:r>
    </w:p>
    <w:p>
      <w:pPr>
        <w:spacing w:line="360" w:lineRule="auto"/>
        <w:ind w:firstLine="360" w:firstLineChars="150"/>
        <w:rPr>
          <w:sz w:val="24"/>
        </w:rPr>
      </w:pPr>
    </w:p>
    <w:p>
      <w:pPr>
        <w:spacing w:line="360" w:lineRule="auto"/>
        <w:rPr>
          <w:sz w:val="24"/>
        </w:rPr>
      </w:pPr>
    </w:p>
    <w:p>
      <w:pPr>
        <w:spacing w:line="360" w:lineRule="auto"/>
        <w:rPr>
          <w:sz w:val="24"/>
        </w:rPr>
      </w:pPr>
    </w:p>
    <w:p>
      <w:pPr>
        <w:spacing w:line="360" w:lineRule="auto"/>
        <w:ind w:firstLine="6312" w:firstLineChars="2630"/>
        <w:rPr>
          <w:sz w:val="24"/>
        </w:rPr>
      </w:pPr>
      <w:r>
        <w:rPr>
          <w:sz w:val="24"/>
        </w:rPr>
        <w:t>声明人：（公章）</w:t>
      </w:r>
    </w:p>
    <w:p>
      <w:pPr>
        <w:wordWrap w:val="0"/>
        <w:spacing w:line="360" w:lineRule="auto"/>
        <w:jc w:val="right"/>
        <w:rPr>
          <w:sz w:val="24"/>
        </w:rPr>
      </w:pPr>
      <w:r>
        <w:rPr>
          <w:sz w:val="24"/>
        </w:rPr>
        <w:t xml:space="preserve">日期：年  月  日 </w:t>
      </w:r>
    </w:p>
    <w:p/>
    <w:sectPr>
      <w:pgSz w:w="11906" w:h="16838"/>
      <w:pgMar w:top="1361" w:right="1797" w:bottom="130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F134E"/>
    <w:multiLevelType w:val="multilevel"/>
    <w:tmpl w:val="3FDF134E"/>
    <w:lvl w:ilvl="0" w:tentative="0">
      <w:start w:val="1"/>
      <w:numFmt w:val="decimal"/>
      <w:lvlText w:val="%1、"/>
      <w:lvlJc w:val="left"/>
      <w:pPr>
        <w:ind w:left="1582" w:hanging="720"/>
      </w:pPr>
      <w:rPr>
        <w:rFonts w:ascii="宋体" w:hAnsi="宋体" w:eastAsia="宋体" w:cs="Times New Roman"/>
      </w:rPr>
    </w:lvl>
    <w:lvl w:ilvl="1" w:tentative="0">
      <w:start w:val="1"/>
      <w:numFmt w:val="lowerLetter"/>
      <w:lvlText w:val="%2)"/>
      <w:lvlJc w:val="left"/>
      <w:pPr>
        <w:ind w:left="1702" w:hanging="420"/>
      </w:pPr>
    </w:lvl>
    <w:lvl w:ilvl="2" w:tentative="0">
      <w:start w:val="1"/>
      <w:numFmt w:val="lowerRoman"/>
      <w:lvlText w:val="%3."/>
      <w:lvlJc w:val="right"/>
      <w:pPr>
        <w:ind w:left="2122" w:hanging="420"/>
      </w:pPr>
    </w:lvl>
    <w:lvl w:ilvl="3" w:tentative="0">
      <w:start w:val="1"/>
      <w:numFmt w:val="decimal"/>
      <w:lvlText w:val="%4."/>
      <w:lvlJc w:val="left"/>
      <w:pPr>
        <w:ind w:left="2542" w:hanging="420"/>
      </w:pPr>
    </w:lvl>
    <w:lvl w:ilvl="4" w:tentative="0">
      <w:start w:val="1"/>
      <w:numFmt w:val="lowerLetter"/>
      <w:lvlText w:val="%5)"/>
      <w:lvlJc w:val="left"/>
      <w:pPr>
        <w:ind w:left="2962" w:hanging="420"/>
      </w:pPr>
    </w:lvl>
    <w:lvl w:ilvl="5" w:tentative="0">
      <w:start w:val="1"/>
      <w:numFmt w:val="lowerRoman"/>
      <w:lvlText w:val="%6."/>
      <w:lvlJc w:val="right"/>
      <w:pPr>
        <w:ind w:left="3382" w:hanging="420"/>
      </w:pPr>
    </w:lvl>
    <w:lvl w:ilvl="6" w:tentative="0">
      <w:start w:val="1"/>
      <w:numFmt w:val="decimal"/>
      <w:lvlText w:val="%7."/>
      <w:lvlJc w:val="left"/>
      <w:pPr>
        <w:ind w:left="3802" w:hanging="420"/>
      </w:pPr>
    </w:lvl>
    <w:lvl w:ilvl="7" w:tentative="0">
      <w:start w:val="1"/>
      <w:numFmt w:val="lowerLetter"/>
      <w:lvlText w:val="%8)"/>
      <w:lvlJc w:val="left"/>
      <w:pPr>
        <w:ind w:left="4222" w:hanging="420"/>
      </w:pPr>
    </w:lvl>
    <w:lvl w:ilvl="8" w:tentative="0">
      <w:start w:val="1"/>
      <w:numFmt w:val="lowerRoman"/>
      <w:lvlText w:val="%9."/>
      <w:lvlJc w:val="right"/>
      <w:pPr>
        <w:ind w:left="4642" w:hanging="420"/>
      </w:pPr>
    </w:lvl>
  </w:abstractNum>
  <w:abstractNum w:abstractNumId="1">
    <w:nsid w:val="5CBB3D33"/>
    <w:multiLevelType w:val="multilevel"/>
    <w:tmpl w:val="5CBB3D33"/>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60A667F"/>
    <w:multiLevelType w:val="multilevel"/>
    <w:tmpl w:val="660A667F"/>
    <w:lvl w:ilvl="0" w:tentative="0">
      <w:start w:val="1"/>
      <w:numFmt w:val="japaneseCounting"/>
      <w:lvlText w:val="%1、"/>
      <w:lvlJc w:val="left"/>
      <w:pPr>
        <w:ind w:left="1429"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7F833FE"/>
    <w:multiLevelType w:val="multilevel"/>
    <w:tmpl w:val="77F833FE"/>
    <w:lvl w:ilvl="0" w:tentative="0">
      <w:start w:val="1"/>
      <w:numFmt w:val="decimal"/>
      <w:lvlText w:val="%1、"/>
      <w:lvlJc w:val="left"/>
      <w:pPr>
        <w:ind w:left="1440" w:hanging="720"/>
      </w:pPr>
      <w:rPr>
        <w:rFonts w:hint="default"/>
      </w:rPr>
    </w:lvl>
    <w:lvl w:ilvl="1" w:tentative="0">
      <w:start w:val="5"/>
      <w:numFmt w:val="japaneseCounting"/>
      <w:lvlText w:val="%2、"/>
      <w:lvlJc w:val="left"/>
      <w:pPr>
        <w:ind w:left="906" w:hanging="480"/>
      </w:pPr>
      <w:rPr>
        <w:rFonts w:hint="default"/>
      </w:r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20B"/>
    <w:rsid w:val="000372CE"/>
    <w:rsid w:val="00073540"/>
    <w:rsid w:val="00075681"/>
    <w:rsid w:val="00095AF2"/>
    <w:rsid w:val="000B29D1"/>
    <w:rsid w:val="000E49B3"/>
    <w:rsid w:val="000F6231"/>
    <w:rsid w:val="000F6415"/>
    <w:rsid w:val="00121333"/>
    <w:rsid w:val="001A4E4F"/>
    <w:rsid w:val="001E5385"/>
    <w:rsid w:val="001F26AB"/>
    <w:rsid w:val="001F564B"/>
    <w:rsid w:val="0023144C"/>
    <w:rsid w:val="00277357"/>
    <w:rsid w:val="002C0FBC"/>
    <w:rsid w:val="002C5527"/>
    <w:rsid w:val="002E296D"/>
    <w:rsid w:val="00331A4F"/>
    <w:rsid w:val="00350F51"/>
    <w:rsid w:val="00350FF8"/>
    <w:rsid w:val="00370E16"/>
    <w:rsid w:val="003A2758"/>
    <w:rsid w:val="003A7116"/>
    <w:rsid w:val="003E43B4"/>
    <w:rsid w:val="003F2075"/>
    <w:rsid w:val="0044052A"/>
    <w:rsid w:val="00477295"/>
    <w:rsid w:val="00486B8A"/>
    <w:rsid w:val="004F26BB"/>
    <w:rsid w:val="00505E08"/>
    <w:rsid w:val="00571E2F"/>
    <w:rsid w:val="005B4856"/>
    <w:rsid w:val="005B71CA"/>
    <w:rsid w:val="005F2E72"/>
    <w:rsid w:val="00614F1C"/>
    <w:rsid w:val="00626546"/>
    <w:rsid w:val="006376E1"/>
    <w:rsid w:val="006500B4"/>
    <w:rsid w:val="00676C1A"/>
    <w:rsid w:val="00691D6D"/>
    <w:rsid w:val="006A7A2F"/>
    <w:rsid w:val="006C4CB9"/>
    <w:rsid w:val="00702A47"/>
    <w:rsid w:val="00722EF2"/>
    <w:rsid w:val="00737E6B"/>
    <w:rsid w:val="00761459"/>
    <w:rsid w:val="007A265D"/>
    <w:rsid w:val="007B46D5"/>
    <w:rsid w:val="007C5EEB"/>
    <w:rsid w:val="007D0533"/>
    <w:rsid w:val="007E294A"/>
    <w:rsid w:val="007E5818"/>
    <w:rsid w:val="008A19CC"/>
    <w:rsid w:val="008A61B7"/>
    <w:rsid w:val="008C2FF6"/>
    <w:rsid w:val="008E41E8"/>
    <w:rsid w:val="00963F25"/>
    <w:rsid w:val="009A417A"/>
    <w:rsid w:val="009A6CF1"/>
    <w:rsid w:val="009D6E25"/>
    <w:rsid w:val="00A129C4"/>
    <w:rsid w:val="00A3291A"/>
    <w:rsid w:val="00A44779"/>
    <w:rsid w:val="00A75176"/>
    <w:rsid w:val="00B16BC0"/>
    <w:rsid w:val="00B4748F"/>
    <w:rsid w:val="00BB5225"/>
    <w:rsid w:val="00BE680D"/>
    <w:rsid w:val="00C16A81"/>
    <w:rsid w:val="00C24571"/>
    <w:rsid w:val="00C83FD5"/>
    <w:rsid w:val="00C86A32"/>
    <w:rsid w:val="00CA0AA3"/>
    <w:rsid w:val="00CA5F6A"/>
    <w:rsid w:val="00CB77A8"/>
    <w:rsid w:val="00CC1D8F"/>
    <w:rsid w:val="00CC344B"/>
    <w:rsid w:val="00CF6C5B"/>
    <w:rsid w:val="00D458E7"/>
    <w:rsid w:val="00D52F1F"/>
    <w:rsid w:val="00D739F6"/>
    <w:rsid w:val="00DB69AF"/>
    <w:rsid w:val="00DC3230"/>
    <w:rsid w:val="00E1033F"/>
    <w:rsid w:val="00E32BAC"/>
    <w:rsid w:val="00E60FCE"/>
    <w:rsid w:val="00E87804"/>
    <w:rsid w:val="00E921F7"/>
    <w:rsid w:val="00E9317A"/>
    <w:rsid w:val="00E9320B"/>
    <w:rsid w:val="00EA0C1A"/>
    <w:rsid w:val="00EA6BF8"/>
    <w:rsid w:val="00EB10D1"/>
    <w:rsid w:val="00EC7472"/>
    <w:rsid w:val="00EE3CE2"/>
    <w:rsid w:val="00FB7195"/>
    <w:rsid w:val="2D1751D5"/>
    <w:rsid w:val="337F22B6"/>
    <w:rsid w:val="4265096E"/>
    <w:rsid w:val="79924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uiPriority w:val="99"/>
    <w:pPr>
      <w:jc w:val="left"/>
    </w:pPr>
  </w:style>
  <w:style w:type="paragraph" w:styleId="3">
    <w:name w:val="Balloon Text"/>
    <w:basedOn w:val="1"/>
    <w:link w:val="15"/>
    <w:semiHidden/>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uiPriority w:val="99"/>
    <w:rPr>
      <w:b/>
      <w:bCs/>
    </w:rPr>
  </w:style>
  <w:style w:type="character" w:styleId="9">
    <w:name w:val="annotation reference"/>
    <w:basedOn w:val="8"/>
    <w:semiHidden/>
    <w:unhideWhenUsed/>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uiPriority w:val="99"/>
    <w:rPr>
      <w:sz w:val="18"/>
      <w:szCs w:val="18"/>
    </w:rPr>
  </w:style>
  <w:style w:type="paragraph" w:styleId="12">
    <w:name w:val="List Paragraph"/>
    <w:basedOn w:val="1"/>
    <w:qFormat/>
    <w:uiPriority w:val="34"/>
    <w:pPr>
      <w:ind w:firstLine="420" w:firstLineChars="200"/>
    </w:pPr>
    <w:rPr>
      <w:rFonts w:ascii="Calibri" w:hAnsi="Calibri"/>
      <w:szCs w:val="22"/>
    </w:rPr>
  </w:style>
  <w:style w:type="paragraph" w:customStyle="1" w:styleId="13">
    <w:name w:val="p0"/>
    <w:basedOn w:val="1"/>
    <w:qFormat/>
    <w:uiPriority w:val="0"/>
    <w:pPr>
      <w:widowControl/>
    </w:pPr>
    <w:rPr>
      <w:kern w:val="0"/>
      <w:szCs w:val="21"/>
    </w:rPr>
  </w:style>
  <w:style w:type="paragraph" w:customStyle="1" w:styleId="14">
    <w:name w:val="List Paragraph1"/>
    <w:basedOn w:val="1"/>
    <w:qFormat/>
    <w:uiPriority w:val="0"/>
    <w:pPr>
      <w:ind w:firstLine="420" w:firstLineChars="200"/>
    </w:pPr>
    <w:rPr>
      <w:rFonts w:ascii="Calibri" w:hAnsi="Calibri"/>
      <w:szCs w:val="22"/>
    </w:rPr>
  </w:style>
  <w:style w:type="character" w:customStyle="1" w:styleId="15">
    <w:name w:val="批注框文本 Char"/>
    <w:basedOn w:val="8"/>
    <w:link w:val="3"/>
    <w:semiHidden/>
    <w:uiPriority w:val="99"/>
    <w:rPr>
      <w:rFonts w:ascii="Times New Roman" w:hAnsi="Times New Roman" w:eastAsia="宋体" w:cs="Times New Roman"/>
      <w:kern w:val="2"/>
      <w:sz w:val="18"/>
      <w:szCs w:val="18"/>
    </w:rPr>
  </w:style>
  <w:style w:type="character" w:customStyle="1" w:styleId="16">
    <w:name w:val="批注文字 Char"/>
    <w:basedOn w:val="8"/>
    <w:link w:val="2"/>
    <w:semiHidden/>
    <w:uiPriority w:val="99"/>
    <w:rPr>
      <w:rFonts w:ascii="Times New Roman" w:hAnsi="Times New Roman" w:eastAsia="宋体" w:cs="Times New Roman"/>
      <w:kern w:val="2"/>
      <w:sz w:val="21"/>
    </w:rPr>
  </w:style>
  <w:style w:type="character" w:customStyle="1" w:styleId="17">
    <w:name w:val="批注主题 Char"/>
    <w:basedOn w:val="16"/>
    <w:link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4DD906-C62B-4360-93F9-0DB71F4058CC}">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12</Pages>
  <Words>758</Words>
  <Characters>4322</Characters>
  <Lines>36</Lines>
  <Paragraphs>10</Paragraphs>
  <TotalTime>39</TotalTime>
  <ScaleCrop>false</ScaleCrop>
  <LinksUpToDate>false</LinksUpToDate>
  <CharactersWithSpaces>5070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2020-12-02T05:21:00Z</dcterms:created>
  <dc:creator>汪娜</dc:creator>
  <cp:lastModifiedBy>旖旎</cp:lastModifiedBy>
  <cp:lastPrinted>2020-12-02T06:08:00Z</cp:lastPrinted>
  <dcterms:modified xsi:type="dcterms:W3CDTF">2020-12-03T07:25:08Z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