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4"/>
          <w:szCs w:val="44"/>
        </w:rPr>
      </w:pPr>
    </w:p>
    <w:p>
      <w:pPr>
        <w:spacing w:line="360" w:lineRule="auto"/>
        <w:jc w:val="center"/>
        <w:rPr>
          <w:rFonts w:hint="eastAsia" w:ascii="黑体" w:eastAsia="黑体" w:cs="黑体"/>
          <w:b/>
          <w:bCs/>
          <w:sz w:val="56"/>
          <w:szCs w:val="56"/>
        </w:rPr>
      </w:pPr>
      <w:r>
        <w:rPr>
          <w:rFonts w:hint="eastAsia" w:ascii="黑体" w:eastAsia="黑体" w:cs="黑体"/>
          <w:b/>
          <w:bCs/>
          <w:sz w:val="56"/>
          <w:szCs w:val="56"/>
        </w:rPr>
        <w:t>南京疾控中心</w:t>
      </w:r>
      <w:r>
        <w:rPr>
          <w:rFonts w:hint="eastAsia" w:ascii="黑体" w:eastAsia="黑体" w:cs="黑体"/>
          <w:b/>
          <w:bCs/>
          <w:sz w:val="56"/>
          <w:szCs w:val="56"/>
          <w:lang w:eastAsia="zh-CN"/>
        </w:rPr>
        <w:t>相关</w:t>
      </w:r>
      <w:r>
        <w:rPr>
          <w:rFonts w:hint="eastAsia" w:ascii="黑体" w:eastAsia="黑体" w:cs="黑体"/>
          <w:b/>
          <w:bCs/>
          <w:sz w:val="56"/>
          <w:szCs w:val="56"/>
        </w:rPr>
        <w:t>课题</w:t>
      </w:r>
    </w:p>
    <w:p>
      <w:pPr>
        <w:spacing w:line="360" w:lineRule="auto"/>
        <w:jc w:val="center"/>
        <w:rPr>
          <w:rFonts w:hint="eastAsia" w:ascii="黑体" w:eastAsia="黑体" w:cs="黑体"/>
          <w:b/>
          <w:bCs/>
          <w:sz w:val="56"/>
          <w:szCs w:val="56"/>
          <w:lang w:eastAsia="zh-CN"/>
        </w:rPr>
      </w:pPr>
      <w:r>
        <w:rPr>
          <w:rFonts w:hint="eastAsia" w:ascii="黑体" w:eastAsia="黑体" w:cs="黑体"/>
          <w:b/>
          <w:bCs/>
          <w:sz w:val="56"/>
          <w:szCs w:val="56"/>
        </w:rPr>
        <w:t>所需SNP检测项目</w:t>
      </w:r>
      <w:r>
        <w:rPr>
          <w:rFonts w:hint="eastAsia" w:ascii="黑体" w:eastAsia="黑体" w:cs="黑体"/>
          <w:b/>
          <w:bCs/>
          <w:sz w:val="56"/>
          <w:szCs w:val="56"/>
          <w:lang w:eastAsia="zh-CN"/>
        </w:rPr>
        <w:t>的采购</w:t>
      </w:r>
    </w:p>
    <w:p>
      <w:pPr>
        <w:spacing w:line="360" w:lineRule="auto"/>
        <w:jc w:val="center"/>
        <w:rPr>
          <w:rFonts w:ascii="宋体" w:hAnsi="宋体"/>
          <w:sz w:val="28"/>
          <w:szCs w:val="28"/>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8"/>
          <w:szCs w:val="28"/>
        </w:rPr>
      </w:pPr>
    </w:p>
    <w:p>
      <w:pPr>
        <w:spacing w:line="360" w:lineRule="auto"/>
        <w:jc w:val="center"/>
        <w:rPr>
          <w:rFonts w:ascii="宋体" w:hAnsi="宋体"/>
          <w:sz w:val="44"/>
          <w:szCs w:val="44"/>
        </w:rPr>
      </w:pPr>
      <w:r>
        <w:rPr>
          <w:rFonts w:hint="eastAsia" w:ascii="宋体" w:hAnsi="宋体"/>
          <w:sz w:val="44"/>
          <w:szCs w:val="44"/>
        </w:rPr>
        <w:t>招标文件</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8"/>
          <w:szCs w:val="28"/>
        </w:rPr>
      </w:pPr>
      <w:r>
        <w:rPr>
          <w:rFonts w:hint="eastAsia" w:ascii="宋体" w:hAnsi="宋体"/>
          <w:sz w:val="28"/>
          <w:szCs w:val="28"/>
        </w:rPr>
        <w:t>南京市疾病预防控制中心</w:t>
      </w:r>
    </w:p>
    <w:p>
      <w:pPr>
        <w:spacing w:line="360" w:lineRule="auto"/>
        <w:jc w:val="center"/>
        <w:rPr>
          <w:rFonts w:ascii="宋体" w:hAnsi="宋体"/>
          <w:sz w:val="28"/>
          <w:szCs w:val="28"/>
        </w:rPr>
      </w:pPr>
      <w:r>
        <w:rPr>
          <w:rFonts w:hint="eastAsia" w:ascii="宋体" w:hAnsi="宋体"/>
          <w:sz w:val="28"/>
          <w:szCs w:val="28"/>
        </w:rPr>
        <w:t>2020年12月2日</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8"/>
          <w:szCs w:val="28"/>
        </w:rPr>
      </w:pPr>
    </w:p>
    <w:p>
      <w:pPr>
        <w:pStyle w:val="132"/>
        <w:numPr>
          <w:ilvl w:val="0"/>
          <w:numId w:val="2"/>
        </w:numPr>
        <w:spacing w:line="480" w:lineRule="auto"/>
        <w:ind w:firstLineChars="0"/>
        <w:rPr>
          <w:rFonts w:ascii="Times New Roman" w:hAnsi="Times New Roman"/>
          <w:b/>
          <w:bCs/>
          <w:sz w:val="24"/>
        </w:rPr>
      </w:pPr>
      <w:bookmarkStart w:id="0" w:name="_Toc524939770"/>
      <w:r>
        <w:rPr>
          <w:rFonts w:ascii="Times New Roman" w:hAnsiTheme="minorEastAsia"/>
          <w:b/>
          <w:bCs/>
          <w:sz w:val="24"/>
        </w:rPr>
        <w:t>招标须知一览表</w:t>
      </w:r>
      <w:bookmarkEnd w:id="0"/>
    </w:p>
    <w:p>
      <w:pPr>
        <w:spacing w:line="360" w:lineRule="auto"/>
        <w:ind w:firstLine="480" w:firstLineChars="200"/>
        <w:rPr>
          <w:sz w:val="24"/>
          <w:szCs w:val="24"/>
        </w:rPr>
      </w:pPr>
      <w:r>
        <w:rPr>
          <w:rFonts w:hAnsiTheme="minorEastAsia"/>
          <w:sz w:val="24"/>
          <w:szCs w:val="24"/>
        </w:rPr>
        <w:t>南京市疾病预防控制中心就</w:t>
      </w:r>
      <w:r>
        <w:rPr>
          <w:rFonts w:hint="eastAsia" w:hAnsiTheme="minorEastAsia"/>
          <w:sz w:val="24"/>
          <w:szCs w:val="24"/>
        </w:rPr>
        <w:t>慢传科</w:t>
      </w:r>
      <w:r>
        <w:rPr>
          <w:rFonts w:hint="eastAsia" w:ascii="Calibri" w:hAnsi="Calibri"/>
          <w:sz w:val="24"/>
          <w:szCs w:val="24"/>
        </w:rPr>
        <w:t>课题所需</w:t>
      </w:r>
      <w:r>
        <w:rPr>
          <w:rFonts w:hint="eastAsia" w:hAnsiTheme="minorEastAsia"/>
          <w:sz w:val="24"/>
          <w:szCs w:val="24"/>
        </w:rPr>
        <w:t>SNP检测</w:t>
      </w:r>
      <w:r>
        <w:rPr>
          <w:rFonts w:hAnsiTheme="minorEastAsia"/>
          <w:sz w:val="24"/>
          <w:szCs w:val="24"/>
        </w:rPr>
        <w:t>项目进行采购，本项目</w:t>
      </w:r>
      <w:r>
        <w:rPr>
          <w:rFonts w:hint="eastAsia" w:hAnsiTheme="minorEastAsia"/>
          <w:sz w:val="24"/>
          <w:szCs w:val="24"/>
        </w:rPr>
        <w:t>将采用</w:t>
      </w:r>
      <w:r>
        <w:rPr>
          <w:rFonts w:hAnsiTheme="minorEastAsia"/>
          <w:sz w:val="24"/>
          <w:szCs w:val="24"/>
        </w:rPr>
        <w:t>综合打分的方法</w:t>
      </w:r>
      <w:r>
        <w:rPr>
          <w:rFonts w:hint="eastAsia" w:hAnsiTheme="minorEastAsia"/>
          <w:sz w:val="24"/>
          <w:szCs w:val="24"/>
        </w:rPr>
        <w:t>产生合格供应商（评分标准详见附件1）。</w:t>
      </w:r>
      <w:r>
        <w:rPr>
          <w:rFonts w:hAnsiTheme="minorEastAsia"/>
          <w:sz w:val="24"/>
          <w:szCs w:val="24"/>
        </w:rPr>
        <w:t>欢迎符合资格条件的供应商参加。</w:t>
      </w:r>
    </w:p>
    <w:tbl>
      <w:tblPr>
        <w:tblStyle w:val="51"/>
        <w:tblW w:w="10213"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AnsiTheme="minorEastAsia"/>
                <w:b/>
                <w:bCs/>
                <w:sz w:val="24"/>
              </w:rPr>
              <w:t>序号</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AnsiTheme="min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sz w:val="24"/>
              </w:rPr>
              <w:t>1</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szCs w:val="24"/>
              </w:rPr>
            </w:pPr>
            <w:r>
              <w:rPr>
                <w:rFonts w:hAnsiTheme="minorEastAsia"/>
                <w:sz w:val="24"/>
                <w:szCs w:val="24"/>
              </w:rPr>
              <w:t>项目名称：</w:t>
            </w:r>
            <w:r>
              <w:rPr>
                <w:rFonts w:hint="eastAsia" w:hAnsiTheme="minorEastAsia"/>
                <w:sz w:val="24"/>
                <w:szCs w:val="24"/>
              </w:rPr>
              <w:t>南京市疾控中心慢传科课题SNP检测服务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sz w:val="24"/>
              </w:rPr>
              <w:t>2</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rFonts w:hAnsiTheme="minorEastAsia"/>
                <w:sz w:val="24"/>
                <w:szCs w:val="24"/>
              </w:rPr>
            </w:pPr>
            <w:r>
              <w:rPr>
                <w:rFonts w:hint="eastAsia" w:hAnsiTheme="minorEastAsia"/>
                <w:sz w:val="24"/>
                <w:szCs w:val="24"/>
              </w:rPr>
              <w:t>项目预算：6.1万元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3</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szCs w:val="24"/>
              </w:rPr>
            </w:pPr>
            <w:r>
              <w:rPr>
                <w:rFonts w:hAnsiTheme="minorEastAsia"/>
                <w:sz w:val="24"/>
                <w:szCs w:val="24"/>
              </w:rPr>
              <w:t>项目基本情况：</w:t>
            </w:r>
            <w:r>
              <w:rPr>
                <w:rFonts w:hint="eastAsia" w:hAnsiTheme="minorEastAsia"/>
                <w:sz w:val="24"/>
                <w:szCs w:val="24"/>
              </w:rPr>
              <w:t>根据</w:t>
            </w:r>
            <w:r>
              <w:rPr>
                <w:rFonts w:hint="eastAsia"/>
                <w:sz w:val="24"/>
                <w:szCs w:val="24"/>
              </w:rPr>
              <w:t>慢传科</w:t>
            </w:r>
            <w:r>
              <w:rPr>
                <w:rFonts w:hint="eastAsia" w:ascii="Calibri" w:hAnsi="Calibri"/>
                <w:sz w:val="24"/>
                <w:szCs w:val="24"/>
              </w:rPr>
              <w:t>南京市医学科技发展项目设计</w:t>
            </w:r>
            <w:r>
              <w:rPr>
                <w:rFonts w:hint="eastAsia"/>
                <w:sz w:val="24"/>
                <w:szCs w:val="24"/>
              </w:rPr>
              <w:t>，需要进行课题相关的SNP位点检测，现遵循</w:t>
            </w:r>
            <w:r>
              <w:rPr>
                <w:rFonts w:hint="eastAsia" w:ascii="Calibri" w:hAnsi="Calibri"/>
                <w:sz w:val="24"/>
                <w:szCs w:val="24"/>
              </w:rPr>
              <w:t>南京市医学科技发展项目经费使用办法，</w:t>
            </w:r>
            <w:r>
              <w:rPr>
                <w:rFonts w:hint="eastAsia"/>
                <w:sz w:val="24"/>
                <w:szCs w:val="24"/>
              </w:rPr>
              <w:t>进行相关项目的招标</w:t>
            </w:r>
            <w:r>
              <w:rPr>
                <w:rFonts w:hint="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4</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 w:val="24"/>
                <w:szCs w:val="24"/>
              </w:rPr>
            </w:pPr>
            <w:r>
              <w:rPr>
                <w:rFonts w:hAnsiTheme="minorEastAsia"/>
                <w:sz w:val="24"/>
                <w:szCs w:val="24"/>
              </w:rPr>
              <w:t>递交响应文件开始时间：</w:t>
            </w:r>
            <w:r>
              <w:rPr>
                <w:sz w:val="24"/>
                <w:szCs w:val="24"/>
              </w:rPr>
              <w:t>2020</w:t>
            </w:r>
            <w:r>
              <w:rPr>
                <w:rFonts w:hAnsiTheme="minorEastAsia"/>
                <w:sz w:val="24"/>
                <w:szCs w:val="24"/>
              </w:rPr>
              <w:t>年</w:t>
            </w:r>
            <w:r>
              <w:rPr>
                <w:rFonts w:hint="eastAsia" w:hAnsiTheme="minorEastAsia"/>
                <w:sz w:val="24"/>
                <w:szCs w:val="24"/>
                <w:lang w:val="en-US" w:eastAsia="zh-CN"/>
              </w:rPr>
              <w:t>12</w:t>
            </w:r>
            <w:r>
              <w:rPr>
                <w:rFonts w:hAnsiTheme="minorEastAsia"/>
                <w:sz w:val="24"/>
                <w:szCs w:val="24"/>
              </w:rPr>
              <w:t>月</w:t>
            </w:r>
            <w:r>
              <w:rPr>
                <w:rFonts w:hint="eastAsia" w:hAnsiTheme="minorEastAsia"/>
                <w:sz w:val="24"/>
                <w:szCs w:val="24"/>
                <w:lang w:val="en-US" w:eastAsia="zh-CN"/>
              </w:rPr>
              <w:t>11</w:t>
            </w:r>
            <w:r>
              <w:rPr>
                <w:rFonts w:hAnsiTheme="minorEastAsia"/>
                <w:sz w:val="24"/>
                <w:szCs w:val="24"/>
              </w:rPr>
              <w:t>日上午</w:t>
            </w:r>
            <w:r>
              <w:rPr>
                <w:sz w:val="24"/>
                <w:szCs w:val="24"/>
              </w:rPr>
              <w:t xml:space="preserve"> 10</w:t>
            </w:r>
            <w:r>
              <w:rPr>
                <w:rFonts w:hAnsiTheme="minorEastAsia"/>
                <w:sz w:val="24"/>
                <w:szCs w:val="24"/>
              </w:rPr>
              <w:t>：</w:t>
            </w:r>
            <w:r>
              <w:rPr>
                <w:rFonts w:hint="eastAsia" w:hAnsiTheme="minorEastAsia"/>
                <w:sz w:val="24"/>
                <w:szCs w:val="24"/>
                <w:lang w:val="en-US" w:eastAsia="zh-CN"/>
              </w:rPr>
              <w:t>3</w:t>
            </w:r>
            <w:r>
              <w:rPr>
                <w:sz w:val="24"/>
                <w:szCs w:val="24"/>
              </w:rPr>
              <w:t>0</w:t>
            </w:r>
            <w:r>
              <w:rPr>
                <w:rFonts w:hAnsiTheme="minorEastAsia"/>
                <w:sz w:val="24"/>
                <w:szCs w:val="24"/>
              </w:rPr>
              <w:t>（北京时间，下同）；</w:t>
            </w:r>
          </w:p>
          <w:p>
            <w:pPr>
              <w:snapToGrid w:val="0"/>
              <w:spacing w:line="276" w:lineRule="auto"/>
              <w:rPr>
                <w:sz w:val="24"/>
                <w:szCs w:val="24"/>
              </w:rPr>
            </w:pPr>
            <w:r>
              <w:rPr>
                <w:rFonts w:hAnsiTheme="minorEastAsia"/>
                <w:sz w:val="24"/>
                <w:szCs w:val="24"/>
              </w:rPr>
              <w:t>递交响应文件截止时间：</w:t>
            </w:r>
            <w:r>
              <w:rPr>
                <w:sz w:val="24"/>
                <w:szCs w:val="24"/>
              </w:rPr>
              <w:t>2020</w:t>
            </w:r>
            <w:r>
              <w:rPr>
                <w:rFonts w:hAnsiTheme="minorEastAsia"/>
                <w:sz w:val="24"/>
                <w:szCs w:val="24"/>
              </w:rPr>
              <w:t>年</w:t>
            </w:r>
            <w:r>
              <w:rPr>
                <w:rFonts w:hint="eastAsia" w:hAnsiTheme="minorEastAsia"/>
                <w:sz w:val="24"/>
                <w:szCs w:val="24"/>
                <w:lang w:val="en-US" w:eastAsia="zh-CN"/>
              </w:rPr>
              <w:t>12</w:t>
            </w:r>
            <w:r>
              <w:rPr>
                <w:rFonts w:hAnsiTheme="minorEastAsia"/>
                <w:sz w:val="24"/>
                <w:szCs w:val="24"/>
              </w:rPr>
              <w:t>月</w:t>
            </w:r>
            <w:r>
              <w:rPr>
                <w:rFonts w:hint="eastAsia" w:hAnsiTheme="minorEastAsia"/>
                <w:sz w:val="24"/>
                <w:szCs w:val="24"/>
                <w:lang w:val="en-US" w:eastAsia="zh-CN"/>
              </w:rPr>
              <w:t>11</w:t>
            </w:r>
            <w:r>
              <w:rPr>
                <w:rFonts w:hAnsiTheme="minorEastAsia"/>
                <w:sz w:val="24"/>
                <w:szCs w:val="24"/>
              </w:rPr>
              <w:t>日上午</w:t>
            </w:r>
            <w:r>
              <w:rPr>
                <w:sz w:val="24"/>
                <w:szCs w:val="24"/>
              </w:rPr>
              <w:t xml:space="preserve"> 10</w:t>
            </w:r>
            <w:r>
              <w:rPr>
                <w:rFonts w:hAnsiTheme="minorEastAsia"/>
                <w:sz w:val="24"/>
                <w:szCs w:val="24"/>
              </w:rPr>
              <w:t>：</w:t>
            </w:r>
            <w:r>
              <w:rPr>
                <w:rFonts w:hint="eastAsia" w:hAnsiTheme="minorEastAsia"/>
                <w:sz w:val="24"/>
                <w:szCs w:val="24"/>
                <w:lang w:val="en-US" w:eastAsia="zh-CN"/>
              </w:rPr>
              <w:t>45</w:t>
            </w:r>
            <w:r>
              <w:rPr>
                <w:rFonts w:hAnsiTheme="minorEastAsia"/>
                <w:sz w:val="24"/>
                <w:szCs w:val="24"/>
              </w:rPr>
              <w:t>；</w:t>
            </w:r>
          </w:p>
          <w:p>
            <w:pPr>
              <w:spacing w:line="276" w:lineRule="auto"/>
              <w:rPr>
                <w:sz w:val="24"/>
                <w:szCs w:val="24"/>
              </w:rPr>
            </w:pPr>
            <w:r>
              <w:rPr>
                <w:rFonts w:hAnsiTheme="minorEastAsia"/>
                <w:sz w:val="24"/>
                <w:szCs w:val="24"/>
              </w:rPr>
              <w:t>递交响应文件截止时间过后，评标小组与供应商进行商议，请供应商法定代表人或其授权委托代表出席。</w:t>
            </w:r>
          </w:p>
          <w:p>
            <w:pPr>
              <w:spacing w:line="276" w:lineRule="auto"/>
              <w:rPr>
                <w:sz w:val="24"/>
                <w:szCs w:val="24"/>
              </w:rPr>
            </w:pPr>
            <w:r>
              <w:rPr>
                <w:rFonts w:hAnsiTheme="minorEastAsia"/>
                <w:sz w:val="24"/>
                <w:szCs w:val="24"/>
              </w:rPr>
              <w:t>开标时间：</w:t>
            </w:r>
            <w:r>
              <w:rPr>
                <w:sz w:val="24"/>
                <w:szCs w:val="24"/>
              </w:rPr>
              <w:t>2020</w:t>
            </w:r>
            <w:r>
              <w:rPr>
                <w:rFonts w:hAnsiTheme="minorEastAsia"/>
                <w:sz w:val="24"/>
                <w:szCs w:val="24"/>
              </w:rPr>
              <w:t>年</w:t>
            </w:r>
            <w:r>
              <w:rPr>
                <w:rFonts w:hint="eastAsia" w:hAnsiTheme="minorEastAsia"/>
                <w:sz w:val="24"/>
                <w:szCs w:val="24"/>
                <w:lang w:val="en-US" w:eastAsia="zh-CN"/>
              </w:rPr>
              <w:t>12</w:t>
            </w:r>
            <w:r>
              <w:rPr>
                <w:rFonts w:hAnsiTheme="minorEastAsia"/>
                <w:sz w:val="24"/>
                <w:szCs w:val="24"/>
              </w:rPr>
              <w:t>月</w:t>
            </w:r>
            <w:r>
              <w:rPr>
                <w:rFonts w:hint="eastAsia" w:hAnsiTheme="minorEastAsia"/>
                <w:sz w:val="24"/>
                <w:szCs w:val="24"/>
                <w:lang w:val="en-US" w:eastAsia="zh-CN"/>
              </w:rPr>
              <w:t>11</w:t>
            </w:r>
            <w:r>
              <w:rPr>
                <w:rFonts w:hAnsiTheme="minorEastAsia"/>
                <w:sz w:val="24"/>
                <w:szCs w:val="24"/>
              </w:rPr>
              <w:t>日上午</w:t>
            </w:r>
            <w:r>
              <w:rPr>
                <w:sz w:val="24"/>
                <w:szCs w:val="24"/>
              </w:rPr>
              <w:t>10</w:t>
            </w:r>
            <w:r>
              <w:rPr>
                <w:rFonts w:hAnsiTheme="minorEastAsia"/>
                <w:sz w:val="24"/>
                <w:szCs w:val="24"/>
              </w:rPr>
              <w:t>时</w:t>
            </w:r>
            <w:r>
              <w:rPr>
                <w:rFonts w:hint="eastAsia" w:hAnsiTheme="minorEastAsia"/>
                <w:sz w:val="24"/>
                <w:szCs w:val="24"/>
                <w:lang w:val="en-US" w:eastAsia="zh-CN"/>
              </w:rPr>
              <w:t>45</w:t>
            </w:r>
            <w:r>
              <w:rPr>
                <w:rFonts w:hAnsiTheme="minorEastAsia"/>
                <w:sz w:val="24"/>
                <w:szCs w:val="24"/>
              </w:rPr>
              <w:t>分。</w:t>
            </w:r>
          </w:p>
          <w:p>
            <w:pPr>
              <w:snapToGrid w:val="0"/>
              <w:spacing w:line="276" w:lineRule="auto"/>
              <w:rPr>
                <w:sz w:val="24"/>
                <w:szCs w:val="24"/>
              </w:rPr>
            </w:pPr>
            <w:r>
              <w:rPr>
                <w:rFonts w:hAnsiTheme="minorEastAsia"/>
                <w:sz w:val="24"/>
                <w:szCs w:val="24"/>
              </w:rPr>
              <w:t>开标地点：南京市疾病预防控制中心（紫竹林</w:t>
            </w:r>
            <w:r>
              <w:rPr>
                <w:sz w:val="24"/>
                <w:szCs w:val="24"/>
              </w:rPr>
              <w:t>3</w:t>
            </w:r>
            <w:r>
              <w:rPr>
                <w:rFonts w:hAnsiTheme="minorEastAsia"/>
                <w:sz w:val="24"/>
                <w:szCs w:val="24"/>
              </w:rPr>
              <w:t>号）二楼楼会议室。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5</w:t>
            </w:r>
          </w:p>
        </w:tc>
        <w:tc>
          <w:tcPr>
            <w:tcW w:w="93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76" w:lineRule="auto"/>
              <w:rPr>
                <w:sz w:val="24"/>
              </w:rPr>
            </w:pPr>
            <w:r>
              <w:rPr>
                <w:rFonts w:hAnsiTheme="minorEastAsia"/>
                <w:sz w:val="24"/>
              </w:rPr>
              <w:t>投标人应根据需求，制定并提交投标文件。投标文件数量：一式肆份纸质版（壹份正本、</w:t>
            </w:r>
            <w:r>
              <w:rPr>
                <w:rFonts w:hint="eastAsia" w:hAnsiTheme="minorEastAsia"/>
                <w:sz w:val="24"/>
              </w:rPr>
              <w:t>叁</w:t>
            </w:r>
            <w:r>
              <w:rPr>
                <w:rFonts w:hAnsiTheme="minorEastAsia"/>
                <w:sz w:val="24"/>
              </w:rPr>
              <w:t>份副本），每份磋商文件须清楚标明</w:t>
            </w:r>
            <w:r>
              <w:rPr>
                <w:sz w:val="24"/>
              </w:rPr>
              <w:t>“</w:t>
            </w:r>
            <w:r>
              <w:rPr>
                <w:rFonts w:hAnsiTheme="minorEastAsia"/>
                <w:sz w:val="24"/>
              </w:rPr>
              <w:t>正本</w:t>
            </w:r>
            <w:r>
              <w:rPr>
                <w:sz w:val="24"/>
              </w:rPr>
              <w:t>”</w:t>
            </w:r>
            <w:r>
              <w:rPr>
                <w:rFonts w:hAnsiTheme="minorEastAsia"/>
                <w:sz w:val="24"/>
              </w:rPr>
              <w:t>或</w:t>
            </w:r>
            <w:r>
              <w:rPr>
                <w:sz w:val="24"/>
              </w:rPr>
              <w:t>“</w:t>
            </w:r>
            <w:r>
              <w:rPr>
                <w:rFonts w:hAnsiTheme="minorEastAsia"/>
                <w:sz w:val="24"/>
              </w:rPr>
              <w:t>副本</w:t>
            </w:r>
            <w:r>
              <w:rPr>
                <w:sz w:val="24"/>
              </w:rPr>
              <w:t>”</w:t>
            </w:r>
            <w:r>
              <w:rPr>
                <w:rFonts w:hAnsiTheme="minorEastAsia"/>
                <w:sz w:val="24"/>
              </w:rPr>
              <w:t>字样。一旦正本和副本不符，以正本为准。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6</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 w:val="24"/>
                <w:szCs w:val="24"/>
              </w:rPr>
            </w:pPr>
            <w:r>
              <w:rPr>
                <w:rFonts w:hAnsiTheme="minorEastAsia"/>
                <w:sz w:val="24"/>
                <w:szCs w:val="24"/>
              </w:rPr>
              <w:t>资质要求：须在中华人民共和国境内注册，具有独立法人资格，且符合、承认并承诺履行本招标文件的各项规定；企业法人营业执照复印件〔加盖单位公章〕、</w:t>
            </w:r>
            <w:r>
              <w:rPr>
                <w:rFonts w:hint="eastAsia" w:hAnsiTheme="minorEastAsia"/>
                <w:sz w:val="24"/>
                <w:szCs w:val="24"/>
              </w:rPr>
              <w:t>其经营范围内应该包含</w:t>
            </w:r>
            <w:r>
              <w:rPr>
                <w:rFonts w:hint="eastAsia"/>
                <w:sz w:val="24"/>
                <w:szCs w:val="24"/>
              </w:rPr>
              <w:t>生物科研实验技术咨询与服务</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7</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AnsiTheme="minorEastAsia"/>
                <w:sz w:val="24"/>
                <w:szCs w:val="24"/>
              </w:rPr>
            </w:pPr>
            <w:r>
              <w:rPr>
                <w:rFonts w:hint="eastAsia" w:hAnsiTheme="minorEastAsia"/>
                <w:sz w:val="24"/>
                <w:szCs w:val="24"/>
              </w:rPr>
              <w:t>检测</w:t>
            </w:r>
            <w:r>
              <w:rPr>
                <w:rFonts w:hAnsiTheme="minorEastAsia"/>
                <w:sz w:val="24"/>
                <w:szCs w:val="24"/>
              </w:rPr>
              <w:t>要求：</w:t>
            </w:r>
          </w:p>
          <w:p>
            <w:pPr>
              <w:snapToGrid w:val="0"/>
              <w:spacing w:line="276" w:lineRule="auto"/>
              <w:rPr>
                <w:rFonts w:hAnsiTheme="minorEastAsia"/>
                <w:sz w:val="24"/>
                <w:szCs w:val="24"/>
              </w:rPr>
            </w:pPr>
            <w:r>
              <w:rPr>
                <w:rFonts w:hint="eastAsia" w:hAnsiTheme="minorEastAsia"/>
                <w:sz w:val="24"/>
                <w:szCs w:val="24"/>
              </w:rPr>
              <w:t>1、数量：750份样本，每样本不少于12个位点；</w:t>
            </w:r>
          </w:p>
          <w:p>
            <w:pPr>
              <w:snapToGrid w:val="0"/>
              <w:spacing w:line="276" w:lineRule="auto"/>
              <w:rPr>
                <w:rFonts w:hAnsiTheme="minorEastAsia"/>
                <w:sz w:val="24"/>
                <w:szCs w:val="24"/>
              </w:rPr>
            </w:pPr>
            <w:r>
              <w:rPr>
                <w:rFonts w:hint="eastAsia" w:hAnsiTheme="minorEastAsia"/>
                <w:sz w:val="24"/>
                <w:szCs w:val="24"/>
              </w:rPr>
              <w:t>2、质量要求：检测结果真实可靠；</w:t>
            </w:r>
          </w:p>
          <w:p>
            <w:pPr>
              <w:snapToGrid w:val="0"/>
              <w:spacing w:line="276" w:lineRule="auto"/>
              <w:rPr>
                <w:rFonts w:ascii="Arial" w:hAnsi="Arial" w:cs="Arial"/>
                <w:kern w:val="0"/>
                <w:sz w:val="20"/>
              </w:rPr>
            </w:pPr>
            <w:r>
              <w:rPr>
                <w:rFonts w:hint="eastAsia" w:hAnsiTheme="minorEastAsia"/>
                <w:sz w:val="24"/>
                <w:szCs w:val="24"/>
              </w:rPr>
              <w:t>3、检测方法：</w:t>
            </w:r>
            <w:r>
              <w:rPr>
                <w:rFonts w:hint="eastAsia" w:ascii="Arial" w:hAnsi="Arial" w:cs="Arial"/>
                <w:kern w:val="0"/>
                <w:sz w:val="20"/>
              </w:rPr>
              <w:t>TaqMan；</w:t>
            </w:r>
          </w:p>
          <w:p>
            <w:pPr>
              <w:snapToGrid w:val="0"/>
              <w:spacing w:line="276" w:lineRule="auto"/>
              <w:rPr>
                <w:sz w:val="24"/>
                <w:szCs w:val="24"/>
              </w:rPr>
            </w:pPr>
            <w:r>
              <w:rPr>
                <w:rFonts w:hint="eastAsia" w:hAnsiTheme="minorEastAsia"/>
                <w:sz w:val="24"/>
                <w:szCs w:val="24"/>
              </w:rPr>
              <w:t>4、时间：签订合同后30个工作日内交付质量可靠的检测数据文件。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8</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hint="eastAsia" w:asciiTheme="minorEastAsia" w:hAnsiTheme="minorEastAsia"/>
                <w:sz w:val="24"/>
                <w:szCs w:val="24"/>
              </w:rPr>
              <w:t>其他证明材料：1、</w:t>
            </w:r>
            <w:r>
              <w:rPr>
                <w:rFonts w:hint="eastAsia" w:asciiTheme="minorEastAsia" w:hAnsiTheme="minorEastAsia"/>
                <w:sz w:val="24"/>
              </w:rPr>
              <w:t>投标单位基本情况介绍材料；</w:t>
            </w:r>
            <w:r>
              <w:rPr>
                <w:rFonts w:hint="eastAsia" w:asciiTheme="minorEastAsia" w:hAnsiTheme="minorEastAsia"/>
                <w:sz w:val="24"/>
                <w:szCs w:val="24"/>
              </w:rPr>
              <w:t>2、提供三年内</w:t>
            </w:r>
            <w:r>
              <w:rPr>
                <w:rFonts w:hint="eastAsia"/>
                <w:sz w:val="24"/>
                <w:szCs w:val="24"/>
              </w:rPr>
              <w:t>SNP位点检测</w:t>
            </w:r>
            <w:r>
              <w:rPr>
                <w:rFonts w:hint="eastAsia" w:asciiTheme="minorEastAsia" w:hAnsiTheme="minorEastAsia"/>
                <w:sz w:val="24"/>
                <w:szCs w:val="24"/>
              </w:rPr>
              <w:t>相关案例3 份；3.提供完善的售后服务体系；4、财务数据运营正常；5、项目时间计划；6、其他相关材料。</w:t>
            </w:r>
            <w:r>
              <w:rPr>
                <w:rFonts w:hAnsiTheme="minorEastAsia"/>
                <w:sz w:val="24"/>
                <w:szCs w:val="24"/>
              </w:rPr>
              <w:t>备注：有关投标人资质及其他证明材料（加盖公章）装订于投标文件中。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9</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asciiTheme="minorEastAsia" w:hAnsiTheme="minorEastAsia"/>
                <w:sz w:val="24"/>
                <w:szCs w:val="24"/>
              </w:rPr>
              <w:t>投标文件里报价单为</w:t>
            </w:r>
            <w:r>
              <w:rPr>
                <w:rFonts w:hint="eastAsia" w:asciiTheme="minorEastAsia" w:hAnsiTheme="minorEastAsia"/>
                <w:sz w:val="24"/>
                <w:szCs w:val="24"/>
              </w:rPr>
              <w:t>750份样本12个位点的报价。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4"/>
              </w:rPr>
            </w:pPr>
            <w:r>
              <w:rPr>
                <w:rFonts w:hint="eastAsia"/>
                <w:sz w:val="24"/>
              </w:rPr>
              <w:t>10</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AnsiTheme="minorEastAsia"/>
                <w:sz w:val="24"/>
              </w:rPr>
              <w:t>单位名称：南京市疾病预防控制中心地址：南京市紫竹林</w:t>
            </w:r>
            <w:r>
              <w:rPr>
                <w:sz w:val="24"/>
              </w:rPr>
              <w:t>2</w:t>
            </w:r>
            <w:r>
              <w:rPr>
                <w:rFonts w:hAnsiTheme="minorEastAsia"/>
                <w:sz w:val="24"/>
              </w:rPr>
              <w:t>号</w:t>
            </w:r>
          </w:p>
          <w:p>
            <w:pPr>
              <w:autoSpaceDE w:val="0"/>
              <w:autoSpaceDN w:val="0"/>
              <w:adjustRightInd w:val="0"/>
              <w:snapToGrid w:val="0"/>
              <w:spacing w:line="276" w:lineRule="auto"/>
              <w:rPr>
                <w:sz w:val="24"/>
              </w:rPr>
            </w:pPr>
            <w:r>
              <w:rPr>
                <w:rFonts w:hAnsiTheme="minorEastAsia"/>
                <w:sz w:val="24"/>
              </w:rPr>
              <w:t>联系人：汪娜（采购执行联系人）</w:t>
            </w:r>
            <w:r>
              <w:rPr>
                <w:rFonts w:hint="eastAsia" w:hAnsiTheme="minorEastAsia"/>
                <w:sz w:val="24"/>
              </w:rPr>
              <w:t>苗瑞芬</w:t>
            </w:r>
            <w:r>
              <w:rPr>
                <w:rFonts w:hAnsiTheme="minorEastAsia"/>
                <w:sz w:val="24"/>
              </w:rPr>
              <w:t>（技术联系人）</w:t>
            </w:r>
          </w:p>
          <w:p>
            <w:pPr>
              <w:autoSpaceDE w:val="0"/>
              <w:autoSpaceDN w:val="0"/>
              <w:adjustRightInd w:val="0"/>
              <w:snapToGrid w:val="0"/>
              <w:spacing w:line="276" w:lineRule="auto"/>
              <w:rPr>
                <w:sz w:val="24"/>
                <w:szCs w:val="24"/>
              </w:rPr>
            </w:pPr>
            <w:r>
              <w:rPr>
                <w:rFonts w:hAnsiTheme="minorEastAsia"/>
                <w:sz w:val="24"/>
              </w:rPr>
              <w:t>联系电话：</w:t>
            </w:r>
            <w:r>
              <w:rPr>
                <w:sz w:val="24"/>
              </w:rPr>
              <w:t>025—83538375     835383</w:t>
            </w:r>
            <w:r>
              <w:rPr>
                <w:rFonts w:hint="eastAsia"/>
                <w:sz w:val="24"/>
              </w:rPr>
              <w:t>45</w:t>
            </w:r>
          </w:p>
        </w:tc>
      </w:tr>
    </w:tbl>
    <w:p>
      <w:pPr>
        <w:spacing w:line="360" w:lineRule="auto"/>
        <w:rPr>
          <w:sz w:val="24"/>
        </w:rPr>
      </w:pPr>
      <w:bookmarkStart w:id="1" w:name="_Toc524939773"/>
      <w:bookmarkStart w:id="2" w:name="_Toc350958826"/>
      <w:bookmarkStart w:id="3" w:name="_Toc350959348"/>
      <w:r>
        <w:rPr>
          <w:sz w:val="24"/>
        </w:rPr>
        <w:t xml:space="preserve">2  </w:t>
      </w:r>
      <w:r>
        <w:rPr>
          <w:rFonts w:hAnsiTheme="minorEastAsia"/>
          <w:sz w:val="24"/>
        </w:rPr>
        <w:t>招标文件</w:t>
      </w:r>
      <w:bookmarkEnd w:id="1"/>
      <w:bookmarkEnd w:id="2"/>
      <w:bookmarkEnd w:id="3"/>
    </w:p>
    <w:p>
      <w:pPr>
        <w:spacing w:line="360" w:lineRule="auto"/>
        <w:rPr>
          <w:sz w:val="24"/>
        </w:rPr>
      </w:pPr>
      <w:r>
        <w:rPr>
          <w:sz w:val="24"/>
        </w:rPr>
        <w:t>2.1</w:t>
      </w:r>
      <w:r>
        <w:rPr>
          <w:rFonts w:hAnsiTheme="minorEastAsia"/>
          <w:sz w:val="24"/>
        </w:rPr>
        <w:t>招标文件中已阐明了所需要求及招标程序条款。</w:t>
      </w:r>
    </w:p>
    <w:p>
      <w:pPr>
        <w:spacing w:line="360" w:lineRule="auto"/>
        <w:rPr>
          <w:sz w:val="24"/>
        </w:rPr>
      </w:pPr>
      <w:r>
        <w:rPr>
          <w:sz w:val="24"/>
        </w:rPr>
        <w:t>2.2</w:t>
      </w:r>
      <w:r>
        <w:rPr>
          <w:rFonts w:hAnsiTheme="minorEastAsia"/>
          <w:sz w:val="24"/>
        </w:rPr>
        <w:t>投标人应详细阅读招标文件中所有须知、格式、条款及要求，应按招标文件要求提供全部资料，如提交的投标文件未对招标文件作出全面的响应，则将有可能导致投标文件被拒绝。</w:t>
      </w:r>
    </w:p>
    <w:p>
      <w:pPr>
        <w:spacing w:line="360" w:lineRule="auto"/>
        <w:rPr>
          <w:sz w:val="24"/>
        </w:rPr>
      </w:pPr>
      <w:r>
        <w:rPr>
          <w:sz w:val="24"/>
        </w:rPr>
        <w:t>2.3</w:t>
      </w:r>
      <w:r>
        <w:rPr>
          <w:rFonts w:hAnsiTheme="minorEastAsia"/>
          <w:sz w:val="24"/>
        </w:rPr>
        <w:t>招标文件的补充和修改</w:t>
      </w:r>
    </w:p>
    <w:p>
      <w:pPr>
        <w:spacing w:line="360" w:lineRule="auto"/>
        <w:rPr>
          <w:sz w:val="24"/>
        </w:rPr>
      </w:pPr>
      <w:r>
        <w:rPr>
          <w:rFonts w:hAnsiTheme="minorEastAsia"/>
          <w:sz w:val="24"/>
        </w:rPr>
        <w:t>招标人对招标文件所作的任何补充和修改均以书面或电子邮箱形式通知所有被邀请的投标人。</w:t>
      </w:r>
    </w:p>
    <w:p>
      <w:pPr>
        <w:spacing w:line="360" w:lineRule="auto"/>
        <w:rPr>
          <w:sz w:val="24"/>
        </w:rPr>
      </w:pPr>
      <w:r>
        <w:rPr>
          <w:sz w:val="24"/>
        </w:rPr>
        <w:t>2.4</w:t>
      </w:r>
      <w:r>
        <w:rPr>
          <w:rFonts w:hAnsiTheme="minorEastAsia"/>
          <w:sz w:val="24"/>
        </w:rPr>
        <w:t>招标文件的解释权属于评标小组。</w:t>
      </w:r>
    </w:p>
    <w:p>
      <w:pPr>
        <w:spacing w:line="360" w:lineRule="auto"/>
        <w:rPr>
          <w:sz w:val="24"/>
        </w:rPr>
      </w:pPr>
      <w:bookmarkStart w:id="4" w:name="_Toc524939774"/>
      <w:bookmarkStart w:id="5" w:name="_Toc350959349"/>
      <w:bookmarkStart w:id="6" w:name="_Toc350958827"/>
      <w:r>
        <w:rPr>
          <w:sz w:val="24"/>
        </w:rPr>
        <w:t xml:space="preserve">3  </w:t>
      </w:r>
      <w:r>
        <w:rPr>
          <w:rFonts w:hAnsiTheme="minorEastAsia"/>
          <w:sz w:val="24"/>
        </w:rPr>
        <w:t>投标文件</w:t>
      </w:r>
      <w:bookmarkEnd w:id="4"/>
      <w:bookmarkEnd w:id="5"/>
      <w:bookmarkEnd w:id="6"/>
    </w:p>
    <w:p>
      <w:pPr>
        <w:spacing w:line="360" w:lineRule="auto"/>
        <w:rPr>
          <w:sz w:val="24"/>
        </w:rPr>
      </w:pPr>
      <w:r>
        <w:rPr>
          <w:sz w:val="24"/>
        </w:rPr>
        <w:t>3.1</w:t>
      </w:r>
      <w:r>
        <w:rPr>
          <w:rFonts w:hAnsiTheme="minorEastAsia"/>
          <w:sz w:val="24"/>
        </w:rPr>
        <w:t>投标文件的组成</w:t>
      </w:r>
    </w:p>
    <w:p>
      <w:pPr>
        <w:spacing w:line="360" w:lineRule="auto"/>
        <w:rPr>
          <w:sz w:val="24"/>
        </w:rPr>
      </w:pPr>
      <w:r>
        <w:rPr>
          <w:sz w:val="24"/>
        </w:rPr>
        <w:t xml:space="preserve">3.1.1 </w:t>
      </w:r>
      <w:r>
        <w:rPr>
          <w:rFonts w:hAnsiTheme="minorEastAsia"/>
          <w:sz w:val="24"/>
        </w:rPr>
        <w:t>投标文件由下述部分组成，递交时应按顺序排列：报价单（格式见附件一）。投标人法定代表授权书（格式见附件二）。响应申请及声明（格式见附件三）。无重大违法记录声明（格式见附件四）。</w:t>
      </w:r>
    </w:p>
    <w:p>
      <w:pPr>
        <w:spacing w:line="360" w:lineRule="auto"/>
        <w:rPr>
          <w:sz w:val="24"/>
        </w:rPr>
      </w:pPr>
      <w:r>
        <w:rPr>
          <w:sz w:val="24"/>
        </w:rPr>
        <w:t xml:space="preserve">3.1.2 </w:t>
      </w:r>
      <w:r>
        <w:rPr>
          <w:rFonts w:hAnsiTheme="minorEastAsia"/>
          <w:sz w:val="24"/>
        </w:rPr>
        <w:t>投标人应仔细阅读并充分理解招标文件的全部内容，投标文件一经提交即视为投标人已经充分理解并完全确认招标文件的全部内容。</w:t>
      </w:r>
    </w:p>
    <w:p>
      <w:pPr>
        <w:spacing w:line="360" w:lineRule="auto"/>
        <w:rPr>
          <w:sz w:val="24"/>
        </w:rPr>
      </w:pPr>
      <w:r>
        <w:rPr>
          <w:sz w:val="24"/>
        </w:rPr>
        <w:t xml:space="preserve">3.1.3 </w:t>
      </w:r>
      <w:r>
        <w:rPr>
          <w:rFonts w:hAnsiTheme="minorEastAsia"/>
          <w:sz w:val="24"/>
        </w:rPr>
        <w:t>投标人所作的一切有效补充、修改文件，均被视为投标文件不可分割的部分。</w:t>
      </w:r>
    </w:p>
    <w:p>
      <w:pPr>
        <w:spacing w:line="360" w:lineRule="auto"/>
        <w:rPr>
          <w:sz w:val="24"/>
        </w:rPr>
      </w:pPr>
      <w:bookmarkStart w:id="7" w:name="_Toc524939775"/>
      <w:bookmarkStart w:id="8" w:name="_Toc350959350"/>
      <w:bookmarkStart w:id="9" w:name="_Toc350958828"/>
      <w:r>
        <w:rPr>
          <w:sz w:val="24"/>
        </w:rPr>
        <w:t xml:space="preserve">4  </w:t>
      </w:r>
      <w:r>
        <w:rPr>
          <w:rFonts w:hAnsiTheme="minorEastAsia"/>
          <w:sz w:val="24"/>
        </w:rPr>
        <w:t>开标</w:t>
      </w:r>
      <w:bookmarkEnd w:id="7"/>
      <w:bookmarkEnd w:id="8"/>
      <w:bookmarkEnd w:id="9"/>
    </w:p>
    <w:p>
      <w:pPr>
        <w:spacing w:line="360" w:lineRule="auto"/>
        <w:rPr>
          <w:sz w:val="24"/>
        </w:rPr>
      </w:pPr>
      <w:r>
        <w:rPr>
          <w:sz w:val="24"/>
        </w:rPr>
        <w:t xml:space="preserve">4.1  </w:t>
      </w:r>
      <w:r>
        <w:rPr>
          <w:rFonts w:hAnsiTheme="minorEastAsia"/>
          <w:sz w:val="24"/>
        </w:rPr>
        <w:t>开标时间：</w:t>
      </w:r>
      <w:r>
        <w:rPr>
          <w:sz w:val="24"/>
        </w:rPr>
        <w:t>2020</w:t>
      </w:r>
      <w:r>
        <w:rPr>
          <w:rFonts w:hAnsiTheme="minorEastAsia"/>
          <w:sz w:val="24"/>
        </w:rPr>
        <w:t>年月日</w:t>
      </w:r>
      <w:r>
        <w:rPr>
          <w:sz w:val="24"/>
        </w:rPr>
        <w:t>10</w:t>
      </w:r>
      <w:r>
        <w:rPr>
          <w:rFonts w:hAnsiTheme="minorEastAsia"/>
          <w:sz w:val="24"/>
        </w:rPr>
        <w:t>时</w:t>
      </w:r>
      <w:r>
        <w:rPr>
          <w:sz w:val="24"/>
        </w:rPr>
        <w:t>30</w:t>
      </w:r>
      <w:r>
        <w:rPr>
          <w:rFonts w:hAnsiTheme="minorEastAsia"/>
          <w:sz w:val="24"/>
        </w:rPr>
        <w:t>分</w:t>
      </w:r>
    </w:p>
    <w:p>
      <w:pPr>
        <w:spacing w:line="360" w:lineRule="auto"/>
        <w:rPr>
          <w:sz w:val="24"/>
        </w:rPr>
      </w:pPr>
      <w:r>
        <w:rPr>
          <w:sz w:val="24"/>
        </w:rPr>
        <w:t xml:space="preserve">4.2  </w:t>
      </w:r>
      <w:r>
        <w:rPr>
          <w:rFonts w:hAnsiTheme="minorEastAsia"/>
          <w:sz w:val="24"/>
        </w:rPr>
        <w:t>开标地点：南京市疾病预防控制中心</w:t>
      </w:r>
      <w:r>
        <w:rPr>
          <w:rFonts w:hint="eastAsia" w:hAnsiTheme="minorEastAsia"/>
          <w:sz w:val="24"/>
        </w:rPr>
        <w:t>2</w:t>
      </w:r>
      <w:r>
        <w:rPr>
          <w:rFonts w:hAnsiTheme="minorEastAsia"/>
          <w:sz w:val="24"/>
        </w:rPr>
        <w:t>楼会议室（紫竹林</w:t>
      </w:r>
      <w:r>
        <w:rPr>
          <w:rFonts w:hint="eastAsia" w:hAnsiTheme="minorEastAsia"/>
          <w:sz w:val="24"/>
        </w:rPr>
        <w:t>3</w:t>
      </w:r>
      <w:r>
        <w:rPr>
          <w:rFonts w:hAnsiTheme="minorEastAsia"/>
          <w:sz w:val="24"/>
        </w:rPr>
        <w:t>号）</w:t>
      </w:r>
    </w:p>
    <w:p>
      <w:pPr>
        <w:spacing w:line="360" w:lineRule="auto"/>
        <w:rPr>
          <w:sz w:val="24"/>
        </w:rPr>
      </w:pPr>
      <w:r>
        <w:rPr>
          <w:sz w:val="24"/>
        </w:rPr>
        <w:t xml:space="preserve">4.3  </w:t>
      </w:r>
      <w:r>
        <w:rPr>
          <w:rFonts w:hAnsiTheme="minorEastAsia"/>
          <w:sz w:val="24"/>
        </w:rPr>
        <w:t>开标仪式由招标方主持，招标方各业务、职能部门代表参加。</w:t>
      </w:r>
    </w:p>
    <w:p>
      <w:pPr>
        <w:spacing w:line="360" w:lineRule="auto"/>
        <w:rPr>
          <w:sz w:val="24"/>
        </w:rPr>
      </w:pPr>
      <w:r>
        <w:rPr>
          <w:sz w:val="24"/>
        </w:rPr>
        <w:t xml:space="preserve">4.4  </w:t>
      </w:r>
      <w:r>
        <w:rPr>
          <w:rFonts w:hAnsiTheme="minorEastAsia"/>
          <w:sz w:val="24"/>
        </w:rPr>
        <w:t>开标时查验投标文件密封情况，确认无误后拆封唱标。</w:t>
      </w:r>
    </w:p>
    <w:p>
      <w:pPr>
        <w:spacing w:line="360" w:lineRule="auto"/>
        <w:rPr>
          <w:sz w:val="24"/>
        </w:rPr>
      </w:pPr>
      <w:r>
        <w:rPr>
          <w:sz w:val="24"/>
        </w:rPr>
        <w:t xml:space="preserve">4.5  </w:t>
      </w:r>
      <w:r>
        <w:rPr>
          <w:rFonts w:hAnsiTheme="minorEastAsia"/>
          <w:sz w:val="24"/>
        </w:rPr>
        <w:t>在开标时先进行技术标书的评标，然后进行商务谈判。</w:t>
      </w:r>
    </w:p>
    <w:p>
      <w:pPr>
        <w:spacing w:line="360" w:lineRule="auto"/>
        <w:rPr>
          <w:sz w:val="24"/>
        </w:rPr>
      </w:pPr>
      <w:bookmarkStart w:id="10" w:name="_Toc350959351"/>
      <w:bookmarkStart w:id="11" w:name="_Toc350958829"/>
      <w:bookmarkStart w:id="12" w:name="_Toc524939776"/>
      <w:r>
        <w:rPr>
          <w:sz w:val="24"/>
        </w:rPr>
        <w:t xml:space="preserve">5  </w:t>
      </w:r>
      <w:r>
        <w:rPr>
          <w:rFonts w:hAnsiTheme="minorEastAsia"/>
          <w:sz w:val="24"/>
        </w:rPr>
        <w:t>评标</w:t>
      </w:r>
      <w:bookmarkEnd w:id="10"/>
      <w:bookmarkEnd w:id="11"/>
      <w:bookmarkEnd w:id="12"/>
    </w:p>
    <w:p>
      <w:pPr>
        <w:spacing w:line="360" w:lineRule="auto"/>
        <w:rPr>
          <w:sz w:val="24"/>
        </w:rPr>
      </w:pPr>
      <w:r>
        <w:rPr>
          <w:rFonts w:hint="eastAsia" w:hAnsiTheme="minorEastAsia"/>
          <w:sz w:val="24"/>
        </w:rPr>
        <w:t>5.1</w:t>
      </w:r>
      <w:r>
        <w:rPr>
          <w:rFonts w:hAnsiTheme="minorEastAsia"/>
          <w:sz w:val="24"/>
        </w:rPr>
        <w:t>评定对象为投标文件（及其有效的补充文件）。本招标文件及其有效的补充文件。</w:t>
      </w:r>
    </w:p>
    <w:p>
      <w:pPr>
        <w:spacing w:line="360" w:lineRule="auto"/>
        <w:rPr>
          <w:sz w:val="24"/>
        </w:rPr>
      </w:pPr>
      <w:r>
        <w:rPr>
          <w:rFonts w:hint="eastAsia" w:hAnsiTheme="minorEastAsia"/>
          <w:sz w:val="24"/>
        </w:rPr>
        <w:t>5.2</w:t>
      </w:r>
      <w:r>
        <w:rPr>
          <w:rFonts w:hAnsiTheme="minorEastAsia"/>
          <w:sz w:val="24"/>
        </w:rPr>
        <w:t>招标人将按招标文件要求，对内容被定为实质性响应的投标文件进行评标。</w:t>
      </w:r>
    </w:p>
    <w:p>
      <w:pPr>
        <w:spacing w:line="360" w:lineRule="auto"/>
        <w:rPr>
          <w:sz w:val="24"/>
        </w:rPr>
      </w:pPr>
      <w:r>
        <w:rPr>
          <w:rFonts w:hAnsiTheme="minorEastAsia"/>
          <w:sz w:val="24"/>
        </w:rPr>
        <w:t>评标是招标人的责任和权利，招标方将依据法律规定，邀请有关专业人士组成评标小组。</w:t>
      </w:r>
    </w:p>
    <w:p>
      <w:pPr>
        <w:spacing w:line="360" w:lineRule="auto"/>
        <w:rPr>
          <w:sz w:val="24"/>
        </w:rPr>
      </w:pPr>
      <w:r>
        <w:rPr>
          <w:rFonts w:hint="eastAsia" w:hAnsiTheme="minorEastAsia"/>
          <w:sz w:val="24"/>
        </w:rPr>
        <w:t>5.3</w:t>
      </w:r>
      <w:r>
        <w:rPr>
          <w:rFonts w:hAnsiTheme="minorEastAsia"/>
          <w:sz w:val="24"/>
        </w:rPr>
        <w:t>招标人可针对投标文件的内容要求投标人澄清，并整理出书面资料，形成对投标文件的有效补充。</w:t>
      </w:r>
    </w:p>
    <w:p>
      <w:pPr>
        <w:spacing w:line="360" w:lineRule="auto"/>
        <w:rPr>
          <w:sz w:val="24"/>
        </w:rPr>
      </w:pPr>
      <w:r>
        <w:rPr>
          <w:rFonts w:hint="eastAsia" w:hAnsiTheme="minorEastAsia"/>
          <w:sz w:val="24"/>
        </w:rPr>
        <w:t>5.4</w:t>
      </w:r>
      <w:r>
        <w:rPr>
          <w:rFonts w:hAnsiTheme="minorEastAsia"/>
          <w:sz w:val="24"/>
        </w:rPr>
        <w:t>评标包括技术评标和商务评标。招标人在评标时除考虑投标价格外，还要考虑产品质量、服务、交货期、投标人的实力和业绩以及投标人所售产品的用户反映等各方面因素，加以综合评定。</w:t>
      </w:r>
    </w:p>
    <w:p>
      <w:pPr>
        <w:spacing w:line="360" w:lineRule="auto"/>
        <w:rPr>
          <w:sz w:val="24"/>
        </w:rPr>
      </w:pPr>
      <w:bookmarkStart w:id="13" w:name="_Toc350959352"/>
      <w:bookmarkStart w:id="14" w:name="_Toc350958830"/>
      <w:bookmarkStart w:id="15" w:name="_Toc524939777"/>
      <w:r>
        <w:rPr>
          <w:sz w:val="24"/>
        </w:rPr>
        <w:t>6</w:t>
      </w:r>
      <w:r>
        <w:rPr>
          <w:rFonts w:hAnsiTheme="minorEastAsia"/>
          <w:sz w:val="24"/>
        </w:rPr>
        <w:t>授予合同</w:t>
      </w:r>
      <w:bookmarkEnd w:id="13"/>
      <w:bookmarkEnd w:id="14"/>
      <w:bookmarkEnd w:id="15"/>
      <w:r>
        <w:rPr>
          <w:rFonts w:hAnsiTheme="minorEastAsia"/>
          <w:sz w:val="24"/>
        </w:rPr>
        <w:t>及中标通知</w:t>
      </w:r>
    </w:p>
    <w:p>
      <w:pPr>
        <w:spacing w:line="360" w:lineRule="auto"/>
        <w:rPr>
          <w:sz w:val="24"/>
        </w:rPr>
      </w:pPr>
      <w:r>
        <w:rPr>
          <w:sz w:val="24"/>
        </w:rPr>
        <w:t>6.1.1</w:t>
      </w:r>
      <w:r>
        <w:rPr>
          <w:rFonts w:hAnsiTheme="minorEastAsia"/>
          <w:sz w:val="24"/>
        </w:rPr>
        <w:t>根据评标结果，招标人发布中标公告。</w:t>
      </w:r>
    </w:p>
    <w:p>
      <w:pPr>
        <w:spacing w:line="360" w:lineRule="auto"/>
        <w:rPr>
          <w:sz w:val="24"/>
        </w:rPr>
      </w:pPr>
      <w:r>
        <w:rPr>
          <w:sz w:val="24"/>
        </w:rPr>
        <w:t>6.1.2</w:t>
      </w:r>
      <w:r>
        <w:rPr>
          <w:rFonts w:hAnsiTheme="minorEastAsia"/>
          <w:sz w:val="24"/>
        </w:rPr>
        <w:t>对未中标的原因，招标方不予解释。</w:t>
      </w:r>
    </w:p>
    <w:p>
      <w:pPr>
        <w:spacing w:line="360" w:lineRule="auto"/>
        <w:rPr>
          <w:sz w:val="24"/>
        </w:rPr>
      </w:pPr>
      <w:r>
        <w:rPr>
          <w:sz w:val="24"/>
        </w:rPr>
        <w:t>6.2.1</w:t>
      </w:r>
      <w:r>
        <w:rPr>
          <w:rFonts w:hAnsiTheme="minorEastAsia"/>
          <w:sz w:val="24"/>
        </w:rPr>
        <w:t>中标人（卖方）在接到中标通知后，在规定的时间两日内正式与招标人（买方）进行合同（包括技术协议等全部附件）谈判。合同条款以招标方招标时提供的标书条款为基础。凡招标时双方已明确的招标书上的内容和原则都要体现在合同中，双方必须无条件接受。</w:t>
      </w:r>
    </w:p>
    <w:p>
      <w:pPr>
        <w:spacing w:line="360" w:lineRule="auto"/>
        <w:rPr>
          <w:sz w:val="24"/>
        </w:rPr>
      </w:pPr>
      <w:r>
        <w:rPr>
          <w:sz w:val="24"/>
        </w:rPr>
        <w:t>6.2.2</w:t>
      </w:r>
      <w:r>
        <w:rPr>
          <w:rFonts w:hAnsiTheme="minorEastAsia"/>
          <w:sz w:val="24"/>
        </w:rPr>
        <w:t>合同经买卖双方签字盖章后生效。</w:t>
      </w:r>
    </w:p>
    <w:p>
      <w:pPr>
        <w:spacing w:line="360" w:lineRule="auto"/>
        <w:rPr>
          <w:sz w:val="24"/>
        </w:rPr>
      </w:pPr>
      <w:r>
        <w:rPr>
          <w:rFonts w:hAnsiTheme="minorEastAsia"/>
          <w:sz w:val="24"/>
        </w:rPr>
        <w:t>招标人在授予合同前的任何时候，保留接受或者拒绝任何投标和取消投标过程，以及拒绝本轮所有投标的权利。招标人无需对此向受影响的投标人进行任何解释、也无需承担任何责任。</w:t>
      </w:r>
    </w:p>
    <w:p>
      <w:pPr>
        <w:spacing w:line="360" w:lineRule="auto"/>
        <w:rPr>
          <w:sz w:val="24"/>
        </w:rPr>
      </w:pPr>
      <w:bookmarkStart w:id="16" w:name="_Toc350958831"/>
      <w:bookmarkStart w:id="17" w:name="_Toc350959353"/>
      <w:bookmarkStart w:id="18" w:name="_Toc524939778"/>
      <w:r>
        <w:rPr>
          <w:sz w:val="24"/>
        </w:rPr>
        <w:t xml:space="preserve">7 </w:t>
      </w:r>
      <w:r>
        <w:rPr>
          <w:rFonts w:hAnsiTheme="minorEastAsia"/>
          <w:sz w:val="24"/>
        </w:rPr>
        <w:t>程序规则与保密</w:t>
      </w:r>
      <w:bookmarkEnd w:id="16"/>
      <w:bookmarkEnd w:id="17"/>
      <w:bookmarkEnd w:id="18"/>
    </w:p>
    <w:p>
      <w:pPr>
        <w:spacing w:line="360" w:lineRule="auto"/>
        <w:rPr>
          <w:sz w:val="24"/>
        </w:rPr>
      </w:pPr>
      <w:r>
        <w:rPr>
          <w:rFonts w:hAnsiTheme="minorEastAsia"/>
          <w:sz w:val="24"/>
        </w:rPr>
        <w:t>从投标截止日期到授予采购合同时止，有关投标文件的审查、澄清、评议以及有关授予采购合同的意向等一切情况均不得透露给投标人或与上述工作无关的单位和个人。参与评标人员必须严格自律</w:t>
      </w:r>
      <w:r>
        <w:rPr>
          <w:sz w:val="24"/>
        </w:rPr>
        <w:t>,</w:t>
      </w:r>
      <w:r>
        <w:rPr>
          <w:rFonts w:hAnsiTheme="minorEastAsia"/>
          <w:sz w:val="24"/>
        </w:rPr>
        <w:t>不得违反《中华人民共和国招投标法》以及其它有关法律、法规和规定。</w:t>
      </w:r>
    </w:p>
    <w:p>
      <w:pPr>
        <w:spacing w:line="360" w:lineRule="auto"/>
        <w:rPr>
          <w:sz w:val="24"/>
        </w:rPr>
      </w:pPr>
      <w:r>
        <w:rPr>
          <w:rFonts w:hAnsiTheme="minorEastAsia"/>
          <w:sz w:val="24"/>
        </w:rPr>
        <w:t>投标人申报的关于资质、业绩等的文件和材料必须真实准确，不得弄虚作假。</w:t>
      </w:r>
    </w:p>
    <w:p>
      <w:pPr>
        <w:spacing w:line="360" w:lineRule="auto"/>
        <w:rPr>
          <w:sz w:val="24"/>
        </w:rPr>
      </w:pPr>
      <w:r>
        <w:rPr>
          <w:rFonts w:hAnsiTheme="minorEastAsia"/>
          <w:sz w:val="24"/>
        </w:rPr>
        <w:t>投标人不得串标、围标、陪标，致使定标困难或无法定标。</w:t>
      </w:r>
    </w:p>
    <w:p>
      <w:pPr>
        <w:spacing w:line="360" w:lineRule="auto"/>
        <w:rPr>
          <w:sz w:val="24"/>
        </w:rPr>
      </w:pPr>
      <w:r>
        <w:rPr>
          <w:rFonts w:hAnsiTheme="minorEastAsia"/>
          <w:sz w:val="24"/>
        </w:rPr>
        <w:t>投标人不得以任何形式打听或搜集评标机密，不得以任何形式干扰评标和授标工作。</w:t>
      </w:r>
    </w:p>
    <w:p>
      <w:pPr>
        <w:spacing w:line="360" w:lineRule="auto"/>
        <w:rPr>
          <w:sz w:val="24"/>
        </w:rPr>
      </w:pPr>
      <w:r>
        <w:rPr>
          <w:rFonts w:hAnsiTheme="minorEastAsia"/>
          <w:sz w:val="24"/>
        </w:rPr>
        <w:t>投标人在规定的投标有效期内不得撤销或修改其投标文件。</w:t>
      </w:r>
    </w:p>
    <w:p>
      <w:pPr>
        <w:spacing w:line="360" w:lineRule="auto"/>
        <w:rPr>
          <w:sz w:val="24"/>
        </w:rPr>
      </w:pPr>
      <w:r>
        <w:rPr>
          <w:rFonts w:hAnsiTheme="minorEastAsia"/>
          <w:sz w:val="24"/>
        </w:rPr>
        <w:t>投标人自中标通知书发出之日起</w:t>
      </w:r>
      <w:r>
        <w:rPr>
          <w:sz w:val="24"/>
        </w:rPr>
        <w:t>15</w:t>
      </w:r>
      <w:r>
        <w:rPr>
          <w:rFonts w:hAnsiTheme="minorEastAsia"/>
          <w:sz w:val="24"/>
        </w:rPr>
        <w:t>日内无正当理由不得拒绝与招标人签订合同。</w:t>
      </w:r>
    </w:p>
    <w:p>
      <w:pPr>
        <w:spacing w:line="360" w:lineRule="auto"/>
        <w:rPr>
          <w:rFonts w:hAnsiTheme="minorEastAsia"/>
          <w:sz w:val="24"/>
        </w:rPr>
        <w:sectPr>
          <w:footerReference r:id="rId3" w:type="default"/>
          <w:pgSz w:w="11906" w:h="16838"/>
          <w:pgMar w:top="1242" w:right="1797" w:bottom="1315" w:left="1797" w:header="851" w:footer="794" w:gutter="0"/>
          <w:pgNumType w:start="1"/>
          <w:cols w:space="720" w:num="1"/>
          <w:docGrid w:linePitch="290" w:charSpace="0"/>
        </w:sectPr>
      </w:pPr>
    </w:p>
    <w:p>
      <w:pPr>
        <w:spacing w:line="360" w:lineRule="auto"/>
        <w:rPr>
          <w:rFonts w:hAnsiTheme="minorEastAsia"/>
          <w:sz w:val="24"/>
        </w:rPr>
      </w:pPr>
    </w:p>
    <w:p>
      <w:pPr>
        <w:spacing w:line="360" w:lineRule="auto"/>
        <w:rPr>
          <w:sz w:val="24"/>
        </w:rPr>
      </w:pPr>
      <w:r>
        <w:rPr>
          <w:rFonts w:hAnsiTheme="minorEastAsia"/>
          <w:sz w:val="24"/>
        </w:rPr>
        <w:t>附件一：</w:t>
      </w:r>
      <w:r>
        <w:rPr>
          <w:rFonts w:hint="eastAsia" w:hAnsiTheme="minorEastAsia"/>
          <w:sz w:val="24"/>
        </w:rPr>
        <w:t>综合评分标准</w:t>
      </w:r>
      <w:r>
        <w:rPr>
          <w:rFonts w:hAnsiTheme="minorEastAsia"/>
          <w:sz w:val="24"/>
        </w:rPr>
        <w:t>：</w:t>
      </w:r>
    </w:p>
    <w:tbl>
      <w:tblPr>
        <w:tblStyle w:val="51"/>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75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序号</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评分因素</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评分标准</w:t>
            </w:r>
          </w:p>
        </w:tc>
        <w:tc>
          <w:tcPr>
            <w:tcW w:w="966" w:type="dxa"/>
            <w:tcBorders>
              <w:top w:val="single" w:color="auto" w:sz="4" w:space="0"/>
              <w:left w:val="single" w:color="auto" w:sz="4" w:space="0"/>
              <w:bottom w:val="single" w:color="auto" w:sz="4" w:space="0"/>
              <w:right w:val="single" w:color="auto" w:sz="4" w:space="0"/>
            </w:tcBorders>
            <w:noWrap/>
          </w:tcPr>
          <w:p>
            <w:pPr>
              <w:spacing w:line="400" w:lineRule="exact"/>
              <w:rPr>
                <w:szCs w:val="21"/>
              </w:rPr>
            </w:pPr>
            <w:r>
              <w:rPr>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1</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报价</w:t>
            </w:r>
          </w:p>
          <w:p>
            <w:pPr>
              <w:spacing w:line="400" w:lineRule="exact"/>
              <w:jc w:val="center"/>
              <w:rPr>
                <w:b/>
                <w:szCs w:val="21"/>
              </w:rPr>
            </w:pPr>
            <w:r>
              <w:rPr>
                <w:b/>
                <w:szCs w:val="21"/>
              </w:rPr>
              <w:t>（</w:t>
            </w:r>
            <w:r>
              <w:rPr>
                <w:rFonts w:hint="eastAsia"/>
                <w:b/>
                <w:szCs w:val="21"/>
              </w:rPr>
              <w:t>30</w:t>
            </w:r>
            <w:r>
              <w:rPr>
                <w:b/>
                <w:szCs w:val="21"/>
              </w:rPr>
              <w:t>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szCs w:val="21"/>
              </w:rPr>
            </w:pPr>
            <w:r>
              <w:rPr>
                <w:rFonts w:hint="eastAsia"/>
                <w:szCs w:val="21"/>
              </w:rPr>
              <w:t>价格分采用低价优先法计算，即满足招标文件要求且报价最低的供应商报价为评标基准价，其价格分为满分30分，其它投标人的价格分统一按照以下公式计算：投标报价得分=(评标基准价/该投标人的投标报价)×20分。注：本项目非专门面向中小企业采购，根据财政部《政府采购促进中小企业发展暂行办法》规定，对小型和微型企业产品的价格给予6%的扣除，用扣除后的价格参与评审。 (须提供中小企业声明函)</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tcBorders>
              <w:left w:val="single" w:color="auto" w:sz="4" w:space="0"/>
              <w:right w:val="single" w:color="auto" w:sz="4" w:space="0"/>
            </w:tcBorders>
            <w:noWrap/>
            <w:vAlign w:val="center"/>
          </w:tcPr>
          <w:p>
            <w:pPr>
              <w:spacing w:line="400" w:lineRule="exact"/>
              <w:jc w:val="center"/>
              <w:rPr>
                <w:b/>
                <w:szCs w:val="21"/>
              </w:rPr>
            </w:pPr>
            <w:r>
              <w:rPr>
                <w:rFonts w:hint="eastAsia"/>
                <w:b/>
                <w:szCs w:val="21"/>
              </w:rPr>
              <w:t>2</w:t>
            </w:r>
          </w:p>
        </w:tc>
        <w:tc>
          <w:tcPr>
            <w:tcW w:w="1276" w:type="dxa"/>
            <w:vMerge w:val="restart"/>
            <w:tcBorders>
              <w:left w:val="single" w:color="auto" w:sz="4" w:space="0"/>
              <w:right w:val="single" w:color="auto" w:sz="4" w:space="0"/>
            </w:tcBorders>
            <w:noWrap/>
            <w:vAlign w:val="center"/>
          </w:tcPr>
          <w:p>
            <w:pPr>
              <w:spacing w:line="400" w:lineRule="exact"/>
              <w:jc w:val="center"/>
              <w:rPr>
                <w:b/>
                <w:szCs w:val="21"/>
              </w:rPr>
            </w:pPr>
            <w:r>
              <w:rPr>
                <w:rFonts w:hint="eastAsia"/>
                <w:b/>
                <w:szCs w:val="21"/>
              </w:rPr>
              <w:t>技术方案</w:t>
            </w:r>
          </w:p>
          <w:p>
            <w:pPr>
              <w:spacing w:line="400" w:lineRule="exact"/>
              <w:jc w:val="center"/>
              <w:rPr>
                <w:b/>
                <w:szCs w:val="21"/>
              </w:rPr>
            </w:pPr>
            <w:r>
              <w:rPr>
                <w:b/>
                <w:szCs w:val="21"/>
              </w:rPr>
              <w:t>（</w:t>
            </w:r>
            <w:r>
              <w:rPr>
                <w:rFonts w:hint="eastAsia"/>
                <w:b/>
                <w:szCs w:val="21"/>
                <w:lang w:val="en-US" w:eastAsia="zh-CN"/>
              </w:rPr>
              <w:t>3</w:t>
            </w:r>
            <w:r>
              <w:rPr>
                <w:rFonts w:hint="eastAsia"/>
                <w:b/>
                <w:szCs w:val="21"/>
              </w:rPr>
              <w:t>5</w:t>
            </w:r>
            <w:r>
              <w:rPr>
                <w:b/>
                <w:szCs w:val="21"/>
              </w:rPr>
              <w:t>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szCs w:val="21"/>
              </w:rPr>
            </w:pPr>
            <w:r>
              <w:rPr>
                <w:rFonts w:hint="eastAsia"/>
                <w:b/>
                <w:bCs/>
                <w:szCs w:val="21"/>
              </w:rPr>
              <w:t>技术方案。</w:t>
            </w:r>
            <w:r>
              <w:rPr>
                <w:szCs w:val="21"/>
              </w:rPr>
              <w:t>根据采购需求，结合实际情况，提出针对性总体方案及技术路线等。评委根据方案的完整性、全面性、合理性综合评分。方案详细具体可操作性强得</w:t>
            </w:r>
            <w:r>
              <w:rPr>
                <w:rFonts w:hint="eastAsia"/>
                <w:szCs w:val="21"/>
                <w:lang w:val="en-US" w:eastAsia="zh-CN"/>
              </w:rPr>
              <w:t>20</w:t>
            </w:r>
            <w:r>
              <w:rPr>
                <w:szCs w:val="21"/>
              </w:rPr>
              <w:t>分，方案较详细具体，可操作性较强得</w:t>
            </w:r>
            <w:r>
              <w:rPr>
                <w:rFonts w:hint="eastAsia"/>
                <w:szCs w:val="21"/>
              </w:rPr>
              <w:t>10</w:t>
            </w:r>
            <w:r>
              <w:rPr>
                <w:szCs w:val="21"/>
              </w:rPr>
              <w:t>分，方案粗略可操作性一般得</w:t>
            </w:r>
            <w:r>
              <w:rPr>
                <w:rFonts w:hint="eastAsia"/>
                <w:szCs w:val="21"/>
              </w:rPr>
              <w:t>5</w:t>
            </w:r>
            <w:r>
              <w:rPr>
                <w:szCs w:val="21"/>
              </w:rPr>
              <w:t>分</w:t>
            </w:r>
            <w:r>
              <w:rPr>
                <w:rFonts w:hint="eastAsia"/>
                <w:szCs w:val="21"/>
              </w:rPr>
              <w:t>，</w:t>
            </w:r>
            <w:r>
              <w:rPr>
                <w:szCs w:val="21"/>
              </w:rPr>
              <w:t>方案误操作性</w:t>
            </w:r>
            <w:r>
              <w:rPr>
                <w:rFonts w:hint="eastAsia"/>
                <w:szCs w:val="21"/>
              </w:rPr>
              <w:t>0分</w:t>
            </w:r>
            <w:r>
              <w:rPr>
                <w:szCs w:val="21"/>
              </w:rPr>
              <w:t>。</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eastAsia="宋体"/>
                <w:szCs w:val="21"/>
                <w:lang w:val="en-US" w:eastAsia="zh-CN"/>
              </w:rPr>
            </w:pPr>
            <w:r>
              <w:rPr>
                <w:rFonts w:hint="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noWrap/>
            <w:vAlign w:val="center"/>
          </w:tcPr>
          <w:p>
            <w:pPr>
              <w:spacing w:line="400" w:lineRule="exact"/>
              <w:jc w:val="center"/>
              <w:rPr>
                <w:b/>
                <w:szCs w:val="21"/>
              </w:rPr>
            </w:pPr>
          </w:p>
        </w:tc>
        <w:tc>
          <w:tcPr>
            <w:tcW w:w="1276" w:type="dxa"/>
            <w:vMerge w:val="continue"/>
            <w:tcBorders>
              <w:left w:val="single" w:color="auto" w:sz="4" w:space="0"/>
              <w:right w:val="single" w:color="auto" w:sz="4" w:space="0"/>
            </w:tcBorders>
            <w:noWrap/>
            <w:vAlign w:val="center"/>
          </w:tcPr>
          <w:p>
            <w:pPr>
              <w:spacing w:line="400" w:lineRule="exact"/>
              <w:jc w:val="center"/>
              <w:rPr>
                <w:b/>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szCs w:val="21"/>
              </w:rPr>
            </w:pPr>
            <w:r>
              <w:rPr>
                <w:rFonts w:hint="eastAsia"/>
                <w:b/>
                <w:bCs/>
                <w:szCs w:val="21"/>
              </w:rPr>
              <w:t>计划进度。</w:t>
            </w:r>
            <w:r>
              <w:rPr>
                <w:szCs w:val="21"/>
              </w:rPr>
              <w:t>提供详细合理的项目实施</w:t>
            </w:r>
            <w:r>
              <w:rPr>
                <w:rFonts w:hint="eastAsia"/>
                <w:szCs w:val="21"/>
              </w:rPr>
              <w:t>进度计划</w:t>
            </w:r>
            <w:r>
              <w:rPr>
                <w:szCs w:val="21"/>
              </w:rPr>
              <w:t>，</w:t>
            </w:r>
            <w:r>
              <w:rPr>
                <w:rFonts w:hint="eastAsia"/>
                <w:szCs w:val="21"/>
              </w:rPr>
              <w:t>在</w:t>
            </w:r>
            <w:r>
              <w:rPr>
                <w:szCs w:val="21"/>
              </w:rPr>
              <w:t>要求时间内</w:t>
            </w:r>
            <w:r>
              <w:rPr>
                <w:rFonts w:hint="eastAsia"/>
                <w:szCs w:val="21"/>
              </w:rPr>
              <w:t>完成项</w:t>
            </w:r>
            <w:r>
              <w:rPr>
                <w:rFonts w:hint="eastAsia"/>
                <w:bCs/>
                <w:szCs w:val="21"/>
              </w:rPr>
              <w:t>目任务，并能够随时保障突发性、临时性任务的高质量完成。提供承诺书的得1</w:t>
            </w:r>
            <w:r>
              <w:rPr>
                <w:rFonts w:hint="eastAsia"/>
                <w:bCs/>
                <w:szCs w:val="21"/>
                <w:lang w:val="en-US" w:eastAsia="zh-CN"/>
              </w:rPr>
              <w:t>5</w:t>
            </w:r>
            <w:r>
              <w:rPr>
                <w:rFonts w:hint="eastAsia"/>
                <w:bCs/>
                <w:szCs w:val="21"/>
              </w:rPr>
              <w:t>分</w:t>
            </w:r>
            <w:r>
              <w:rPr>
                <w:szCs w:val="21"/>
              </w:rPr>
              <w:t>，其余酌情评分。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eastAsia="宋体"/>
                <w:szCs w:val="21"/>
                <w:lang w:val="en-US" w:eastAsia="zh-CN"/>
              </w:rPr>
            </w:pPr>
            <w:r>
              <w:rPr>
                <w:rFonts w:hint="eastAsia"/>
                <w:szCs w:val="21"/>
              </w:rPr>
              <w:t>1</w:t>
            </w: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3.1</w:t>
            </w:r>
          </w:p>
        </w:tc>
        <w:tc>
          <w:tcPr>
            <w:tcW w:w="1276" w:type="dxa"/>
            <w:vMerge w:val="restart"/>
            <w:tcBorders>
              <w:top w:val="single" w:color="auto" w:sz="4" w:space="0"/>
              <w:left w:val="single" w:color="auto" w:sz="4" w:space="0"/>
              <w:right w:val="single" w:color="auto" w:sz="4" w:space="0"/>
            </w:tcBorders>
            <w:noWrap/>
            <w:vAlign w:val="center"/>
          </w:tcPr>
          <w:p>
            <w:pPr>
              <w:spacing w:line="400" w:lineRule="exact"/>
              <w:jc w:val="center"/>
              <w:rPr>
                <w:b/>
                <w:szCs w:val="21"/>
              </w:rPr>
            </w:pPr>
            <w:r>
              <w:rPr>
                <w:rFonts w:hint="eastAsia"/>
                <w:b/>
                <w:szCs w:val="21"/>
              </w:rPr>
              <w:t>企业服务综合能力</w:t>
            </w:r>
          </w:p>
          <w:p>
            <w:pPr>
              <w:spacing w:line="400" w:lineRule="exact"/>
              <w:jc w:val="center"/>
              <w:rPr>
                <w:b/>
                <w:szCs w:val="21"/>
              </w:rPr>
            </w:pPr>
            <w:r>
              <w:rPr>
                <w:b/>
                <w:szCs w:val="21"/>
              </w:rPr>
              <w:t>（</w:t>
            </w:r>
            <w:r>
              <w:rPr>
                <w:rFonts w:hint="eastAsia"/>
                <w:b/>
                <w:szCs w:val="21"/>
                <w:lang w:val="en-US" w:eastAsia="zh-CN"/>
              </w:rPr>
              <w:t>3</w:t>
            </w:r>
            <w:bookmarkStart w:id="26" w:name="_GoBack"/>
            <w:bookmarkEnd w:id="26"/>
            <w:r>
              <w:rPr>
                <w:rFonts w:hint="eastAsia"/>
                <w:b/>
                <w:szCs w:val="21"/>
              </w:rPr>
              <w:t>0</w:t>
            </w:r>
            <w:r>
              <w:rPr>
                <w:b/>
                <w:szCs w:val="21"/>
              </w:rPr>
              <w:t>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szCs w:val="21"/>
              </w:rPr>
            </w:pPr>
            <w:r>
              <w:rPr>
                <w:b/>
              </w:rPr>
              <w:t>团队人员保障</w:t>
            </w:r>
            <w:r>
              <w:rPr>
                <w:rFonts w:hint="eastAsia"/>
                <w:b/>
              </w:rPr>
              <w:t>。</w:t>
            </w:r>
            <w:r>
              <w:rPr>
                <w:rFonts w:hint="eastAsia"/>
                <w:szCs w:val="21"/>
              </w:rPr>
              <w:t>根据供应商针对本项项目配置的人员数量，技术实力及人员素质等情况进行综合评审，项目组成员每有一个得2分，此项最多得10分。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eastAsia="宋体"/>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3.2</w:t>
            </w:r>
          </w:p>
        </w:tc>
        <w:tc>
          <w:tcPr>
            <w:tcW w:w="1276" w:type="dxa"/>
            <w:vMerge w:val="continue"/>
            <w:tcBorders>
              <w:left w:val="single" w:color="auto" w:sz="4" w:space="0"/>
              <w:right w:val="single" w:color="auto" w:sz="4" w:space="0"/>
            </w:tcBorders>
            <w:noWrap/>
            <w:vAlign w:val="center"/>
          </w:tcPr>
          <w:p>
            <w:pPr>
              <w:spacing w:line="400" w:lineRule="exact"/>
              <w:jc w:val="center"/>
              <w:rPr>
                <w:b/>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b/>
                <w:highlight w:val="yellow"/>
              </w:rPr>
            </w:pPr>
            <w:r>
              <w:rPr>
                <w:b/>
                <w:bCs/>
                <w:szCs w:val="21"/>
              </w:rPr>
              <w:t>履约能力</w:t>
            </w:r>
            <w:r>
              <w:rPr>
                <w:rFonts w:hint="eastAsia"/>
                <w:b/>
                <w:bCs/>
                <w:szCs w:val="21"/>
              </w:rPr>
              <w:t>。</w:t>
            </w:r>
            <w:r>
              <w:rPr>
                <w:szCs w:val="21"/>
              </w:rPr>
              <w:t>供应商项目团队，具有</w:t>
            </w:r>
            <w:r>
              <w:rPr>
                <w:rFonts w:hint="eastAsia"/>
                <w:szCs w:val="21"/>
              </w:rPr>
              <w:t>201</w:t>
            </w:r>
            <w:r>
              <w:rPr>
                <w:szCs w:val="21"/>
              </w:rPr>
              <w:t>8</w:t>
            </w:r>
            <w:r>
              <w:rPr>
                <w:rFonts w:hint="eastAsia"/>
                <w:szCs w:val="21"/>
              </w:rPr>
              <w:t>年以来类似</w:t>
            </w:r>
            <w:r>
              <w:rPr>
                <w:szCs w:val="21"/>
              </w:rPr>
              <w:t>项目</w:t>
            </w:r>
            <w:r>
              <w:rPr>
                <w:rFonts w:hint="eastAsia"/>
                <w:szCs w:val="21"/>
              </w:rPr>
              <w:t>合同，每个合同得5分，最高得20分</w:t>
            </w:r>
            <w:r>
              <w:rPr>
                <w:szCs w:val="21"/>
              </w:rPr>
              <w:t>。</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szCs w:val="21"/>
              </w:rPr>
            </w:pPr>
            <w:r>
              <w:rPr>
                <w:rFonts w:hint="eastAsia"/>
                <w:szCs w:val="21"/>
                <w:lang w:val="en-US" w:eastAsia="zh-CN"/>
              </w:rPr>
              <w:t>2</w:t>
            </w: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rFonts w:hint="eastAsia"/>
                <w:b/>
                <w:szCs w:val="21"/>
              </w:rPr>
              <w:t>4</w:t>
            </w:r>
          </w:p>
        </w:tc>
        <w:tc>
          <w:tcPr>
            <w:tcW w:w="1276" w:type="dxa"/>
            <w:tcBorders>
              <w:left w:val="single" w:color="auto" w:sz="4" w:space="0"/>
              <w:right w:val="single" w:color="auto" w:sz="4" w:space="0"/>
            </w:tcBorders>
            <w:noWrap/>
            <w:vAlign w:val="center"/>
          </w:tcPr>
          <w:p>
            <w:pPr>
              <w:spacing w:line="400" w:lineRule="exact"/>
              <w:jc w:val="center"/>
              <w:rPr>
                <w:b/>
                <w:bCs/>
                <w:szCs w:val="21"/>
              </w:rPr>
            </w:pPr>
            <w:r>
              <w:rPr>
                <w:b/>
                <w:bCs/>
                <w:szCs w:val="21"/>
              </w:rPr>
              <w:t>投标</w:t>
            </w:r>
          </w:p>
          <w:p>
            <w:pPr>
              <w:spacing w:line="400" w:lineRule="exact"/>
              <w:jc w:val="center"/>
              <w:rPr>
                <w:b/>
                <w:bCs/>
                <w:szCs w:val="21"/>
              </w:rPr>
            </w:pPr>
            <w:r>
              <w:rPr>
                <w:b/>
                <w:bCs/>
                <w:szCs w:val="21"/>
              </w:rPr>
              <w:t>响应性</w:t>
            </w:r>
          </w:p>
          <w:p>
            <w:pPr>
              <w:spacing w:line="400" w:lineRule="exact"/>
              <w:jc w:val="center"/>
              <w:rPr>
                <w:b/>
                <w:bCs/>
                <w:szCs w:val="21"/>
              </w:rPr>
            </w:pPr>
            <w:r>
              <w:rPr>
                <w:b/>
                <w:bCs/>
                <w:szCs w:val="21"/>
              </w:rPr>
              <w:t>5分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eastAsia="宋体" w:cs="Times New Roman"/>
                <w:b/>
                <w:bCs/>
                <w:kern w:val="2"/>
                <w:sz w:val="21"/>
                <w:szCs w:val="21"/>
                <w:lang w:val="en-US" w:eastAsia="zh-CN" w:bidi="ar-SA"/>
              </w:rPr>
            </w:pPr>
            <w:r>
              <w:rPr>
                <w:szCs w:val="21"/>
              </w:rPr>
              <w:t>对投标文件完整性、响应性等进行评价，目录、页码齐全，篇幅合理，上述要求满足性全面得5分，满足性较全面得3分，满足性一般1分。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szCs w:val="21"/>
              </w:rPr>
            </w:pPr>
            <w:r>
              <w:rPr>
                <w:b/>
                <w:szCs w:val="21"/>
              </w:rPr>
              <w:t>合计</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szCs w:val="21"/>
              </w:rPr>
            </w:pP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szCs w:val="21"/>
              </w:rPr>
            </w:pPr>
            <w:r>
              <w:rPr>
                <w:szCs w:val="21"/>
              </w:rPr>
              <w:t>100</w:t>
            </w:r>
          </w:p>
        </w:tc>
      </w:tr>
    </w:tbl>
    <w:p>
      <w:pPr>
        <w:spacing w:line="360" w:lineRule="auto"/>
        <w:rPr>
          <w:rFonts w:hAnsiTheme="minorEastAsia"/>
          <w:sz w:val="24"/>
        </w:rPr>
        <w:sectPr>
          <w:pgSz w:w="11906" w:h="16838"/>
          <w:pgMar w:top="1242" w:right="1797" w:bottom="1315" w:left="1797" w:header="851" w:footer="794" w:gutter="0"/>
          <w:pgNumType w:start="1"/>
          <w:cols w:space="720" w:num="1"/>
          <w:docGrid w:linePitch="290" w:charSpace="0"/>
        </w:sectPr>
      </w:pPr>
    </w:p>
    <w:p>
      <w:pPr>
        <w:spacing w:line="360" w:lineRule="auto"/>
        <w:rPr>
          <w:sz w:val="24"/>
        </w:rPr>
      </w:pPr>
      <w:r>
        <w:rPr>
          <w:rFonts w:hAnsiTheme="minorEastAsia"/>
          <w:sz w:val="24"/>
        </w:rPr>
        <w:t>附件二、投标人法定代表授权书（格式）</w:t>
      </w:r>
      <w:bookmarkStart w:id="19" w:name="_Toc350958833"/>
      <w:bookmarkStart w:id="20" w:name="_Toc350959355"/>
      <w:bookmarkStart w:id="21" w:name="_Toc524939781"/>
    </w:p>
    <w:p>
      <w:pPr>
        <w:spacing w:line="360" w:lineRule="auto"/>
        <w:rPr>
          <w:sz w:val="24"/>
        </w:rPr>
      </w:pPr>
    </w:p>
    <w:p>
      <w:pPr>
        <w:jc w:val="center"/>
        <w:rPr>
          <w:b/>
          <w:sz w:val="36"/>
          <w:szCs w:val="36"/>
        </w:rPr>
      </w:pPr>
      <w:r>
        <w:rPr>
          <w:rFonts w:hAnsi="宋体"/>
          <w:b/>
          <w:sz w:val="36"/>
          <w:szCs w:val="36"/>
        </w:rPr>
        <w:t>法定代表人授权书</w:t>
      </w:r>
    </w:p>
    <w:p>
      <w:pPr>
        <w:autoSpaceDE w:val="0"/>
        <w:autoSpaceDN w:val="0"/>
        <w:adjustRightInd w:val="0"/>
        <w:spacing w:line="360" w:lineRule="auto"/>
        <w:rPr>
          <w:szCs w:val="21"/>
          <w:lang w:val="zh-CN"/>
        </w:rPr>
      </w:pPr>
    </w:p>
    <w:p>
      <w:pPr>
        <w:autoSpaceDE w:val="0"/>
        <w:autoSpaceDN w:val="0"/>
        <w:adjustRightInd w:val="0"/>
        <w:spacing w:line="360" w:lineRule="auto"/>
        <w:rPr>
          <w:sz w:val="24"/>
          <w:szCs w:val="21"/>
          <w:lang w:val="zh-CN"/>
        </w:rPr>
      </w:pPr>
      <w:r>
        <w:rPr>
          <w:rFonts w:hAnsi="宋体"/>
          <w:sz w:val="24"/>
          <w:szCs w:val="21"/>
          <w:lang w:val="zh-CN"/>
        </w:rPr>
        <w:t>南京市疾病预防控制中心</w:t>
      </w:r>
      <w:r>
        <w:rPr>
          <w:sz w:val="24"/>
          <w:szCs w:val="21"/>
          <w:lang w:val="zh-CN"/>
        </w:rPr>
        <w:t>:</w:t>
      </w:r>
    </w:p>
    <w:p>
      <w:pPr>
        <w:autoSpaceDE w:val="0"/>
        <w:autoSpaceDN w:val="0"/>
        <w:adjustRightInd w:val="0"/>
        <w:spacing w:line="360" w:lineRule="auto"/>
        <w:ind w:firstLine="480" w:firstLineChars="200"/>
        <w:rPr>
          <w:sz w:val="24"/>
          <w:szCs w:val="21"/>
          <w:lang w:val="zh-CN"/>
        </w:rPr>
      </w:pPr>
      <w:r>
        <w:rPr>
          <w:rFonts w:hAnsi="宋体"/>
          <w:sz w:val="24"/>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pPr>
        <w:autoSpaceDE w:val="0"/>
        <w:autoSpaceDN w:val="0"/>
        <w:adjustRightInd w:val="0"/>
        <w:spacing w:line="360" w:lineRule="auto"/>
        <w:ind w:firstLine="480" w:firstLineChars="200"/>
        <w:rPr>
          <w:sz w:val="24"/>
          <w:szCs w:val="21"/>
          <w:lang w:val="zh-CN"/>
        </w:rPr>
      </w:pPr>
      <w:r>
        <w:rPr>
          <w:rFonts w:hAnsi="宋体"/>
          <w:sz w:val="24"/>
          <w:szCs w:val="21"/>
          <w:lang w:val="zh-CN"/>
        </w:rPr>
        <w:t>本授权书于年月日签字或签章生效，特此声明。</w:t>
      </w:r>
    </w:p>
    <w:p>
      <w:pPr>
        <w:autoSpaceDE w:val="0"/>
        <w:autoSpaceDN w:val="0"/>
        <w:adjustRightInd w:val="0"/>
        <w:spacing w:line="360" w:lineRule="auto"/>
        <w:ind w:firstLine="480" w:firstLineChars="200"/>
        <w:rPr>
          <w:sz w:val="24"/>
          <w:szCs w:val="21"/>
          <w:lang w:val="zh-CN"/>
        </w:rPr>
      </w:pPr>
      <w:r>
        <w:rPr>
          <w:rFonts w:hAnsi="宋体"/>
          <w:sz w:val="24"/>
          <w:szCs w:val="21"/>
          <w:lang w:val="zh-CN"/>
        </w:rPr>
        <w:t>法定代表人签字或签章：</w:t>
      </w:r>
    </w:p>
    <w:p>
      <w:pPr>
        <w:autoSpaceDE w:val="0"/>
        <w:autoSpaceDN w:val="0"/>
        <w:adjustRightInd w:val="0"/>
        <w:spacing w:line="360" w:lineRule="auto"/>
        <w:ind w:firstLine="480" w:firstLineChars="200"/>
        <w:rPr>
          <w:sz w:val="24"/>
          <w:szCs w:val="21"/>
          <w:lang w:val="zh-CN"/>
        </w:rPr>
      </w:pPr>
      <w:r>
        <w:rPr>
          <w:rFonts w:hAnsi="宋体"/>
          <w:sz w:val="24"/>
          <w:szCs w:val="21"/>
          <w:lang w:val="zh-CN"/>
        </w:rPr>
        <w:t>被授权人签字：</w:t>
      </w:r>
    </w:p>
    <w:p>
      <w:pPr>
        <w:autoSpaceDE w:val="0"/>
        <w:autoSpaceDN w:val="0"/>
        <w:adjustRightInd w:val="0"/>
        <w:spacing w:line="360" w:lineRule="auto"/>
        <w:ind w:firstLine="480" w:firstLineChars="200"/>
        <w:rPr>
          <w:sz w:val="24"/>
          <w:szCs w:val="21"/>
          <w:lang w:val="zh-CN"/>
        </w:rPr>
      </w:pPr>
      <w:r>
        <w:rPr>
          <w:rFonts w:hAnsi="宋体"/>
          <w:sz w:val="24"/>
          <w:szCs w:val="21"/>
        </w:rPr>
        <w:t>供应商盖章：</w:t>
      </w:r>
    </w:p>
    <w:p>
      <w:pPr>
        <w:tabs>
          <w:tab w:val="left" w:pos="1440"/>
        </w:tabs>
        <w:autoSpaceDE w:val="0"/>
        <w:autoSpaceDN w:val="0"/>
        <w:adjustRightInd w:val="0"/>
        <w:spacing w:line="360" w:lineRule="auto"/>
        <w:ind w:firstLine="480" w:firstLineChars="200"/>
        <w:rPr>
          <w:sz w:val="24"/>
          <w:szCs w:val="21"/>
          <w:lang w:val="zh-CN"/>
        </w:rPr>
      </w:pPr>
      <w:r>
        <w:rPr>
          <w:rFonts w:hAnsi="宋体"/>
          <w:sz w:val="24"/>
          <w:szCs w:val="21"/>
          <w:lang w:val="zh-CN"/>
        </w:rPr>
        <w:t>日期：年月日</w:t>
      </w:r>
    </w:p>
    <w:p>
      <w:pPr>
        <w:autoSpaceDE w:val="0"/>
        <w:autoSpaceDN w:val="0"/>
        <w:adjustRightInd w:val="0"/>
        <w:spacing w:line="360" w:lineRule="auto"/>
        <w:rPr>
          <w:sz w:val="24"/>
          <w:szCs w:val="21"/>
          <w:lang w:val="zh-CN"/>
        </w:rPr>
      </w:pPr>
    </w:p>
    <w:p>
      <w:pPr>
        <w:autoSpaceDE w:val="0"/>
        <w:autoSpaceDN w:val="0"/>
        <w:adjustRightInd w:val="0"/>
        <w:spacing w:line="360" w:lineRule="auto"/>
        <w:ind w:firstLine="482" w:firstLineChars="200"/>
        <w:rPr>
          <w:b/>
          <w:sz w:val="24"/>
          <w:szCs w:val="21"/>
          <w:lang w:val="zh-CN"/>
        </w:rPr>
      </w:pPr>
      <w:r>
        <w:rPr>
          <w:rFonts w:hAnsi="宋体"/>
          <w:b/>
          <w:kern w:val="0"/>
          <w:sz w:val="24"/>
          <w:szCs w:val="21"/>
        </w:rPr>
        <w:t>被授权人</w:t>
      </w:r>
      <w:r>
        <w:rPr>
          <w:rFonts w:hAnsi="宋体"/>
          <w:b/>
          <w:kern w:val="0"/>
          <w:sz w:val="24"/>
          <w:szCs w:val="21"/>
          <w:lang w:val="zh-CN"/>
        </w:rPr>
        <w:t>的身份证明文件的复印件：</w:t>
      </w:r>
    </w:p>
    <w:p>
      <w:pPr>
        <w:spacing w:line="360" w:lineRule="auto"/>
        <w:rPr>
          <w:sz w:val="32"/>
        </w:rPr>
      </w:pPr>
      <w:r>
        <w:rPr>
          <w:sz w:val="24"/>
          <w:szCs w:val="21"/>
          <w:lang w:val="zh-CN"/>
        </w:rPr>
        <w:br w:type="page"/>
      </w:r>
    </w:p>
    <w:p>
      <w:pPr>
        <w:jc w:val="left"/>
        <w:rPr>
          <w:sz w:val="24"/>
        </w:rPr>
      </w:pPr>
      <w:r>
        <w:rPr>
          <w:rFonts w:hAnsiTheme="minorEastAsia"/>
          <w:sz w:val="24"/>
        </w:rPr>
        <w:t>附件三、响应申请及声明（格式）</w:t>
      </w:r>
      <w:bookmarkEnd w:id="19"/>
      <w:bookmarkEnd w:id="20"/>
      <w:bookmarkEnd w:id="21"/>
    </w:p>
    <w:p>
      <w:pPr>
        <w:jc w:val="center"/>
        <w:rPr>
          <w:sz w:val="24"/>
        </w:rPr>
      </w:pPr>
      <w:bookmarkStart w:id="22" w:name="_Toc350958834"/>
      <w:bookmarkStart w:id="23" w:name="_Toc350959356"/>
      <w:bookmarkStart w:id="24" w:name="_Toc524939782"/>
      <w:bookmarkStart w:id="25" w:name="_Toc524939783"/>
    </w:p>
    <w:p>
      <w:pPr>
        <w:jc w:val="center"/>
        <w:rPr>
          <w:b/>
          <w:sz w:val="36"/>
          <w:szCs w:val="36"/>
        </w:rPr>
      </w:pPr>
      <w:r>
        <w:rPr>
          <w:rFonts w:hAnsi="宋体"/>
          <w:b/>
          <w:sz w:val="36"/>
          <w:szCs w:val="36"/>
        </w:rPr>
        <w:t>响应申请及声明</w:t>
      </w:r>
    </w:p>
    <w:p>
      <w:pPr>
        <w:jc w:val="center"/>
        <w:rPr>
          <w:szCs w:val="21"/>
        </w:rPr>
      </w:pPr>
    </w:p>
    <w:p>
      <w:pPr>
        <w:autoSpaceDE w:val="0"/>
        <w:autoSpaceDN w:val="0"/>
        <w:adjustRightInd w:val="0"/>
        <w:spacing w:line="360" w:lineRule="auto"/>
        <w:ind w:firstLine="480" w:firstLineChars="200"/>
        <w:rPr>
          <w:sz w:val="24"/>
          <w:szCs w:val="21"/>
          <w:lang w:val="zh-CN"/>
        </w:rPr>
      </w:pPr>
      <w:r>
        <w:rPr>
          <w:rFonts w:hAnsi="宋体"/>
          <w:sz w:val="24"/>
          <w:szCs w:val="21"/>
          <w:lang w:val="zh-CN"/>
        </w:rPr>
        <w:t>致：南京市疾病预防控制中心</w:t>
      </w:r>
    </w:p>
    <w:p>
      <w:pPr>
        <w:autoSpaceDE w:val="0"/>
        <w:autoSpaceDN w:val="0"/>
        <w:adjustRightInd w:val="0"/>
        <w:spacing w:line="360" w:lineRule="auto"/>
        <w:ind w:firstLine="420"/>
        <w:rPr>
          <w:sz w:val="24"/>
          <w:szCs w:val="21"/>
          <w:lang w:val="zh-CN"/>
        </w:rPr>
      </w:pPr>
      <w:r>
        <w:rPr>
          <w:rFonts w:hAnsi="宋体"/>
          <w:sz w:val="24"/>
          <w:szCs w:val="21"/>
          <w:lang w:val="zh-CN"/>
        </w:rPr>
        <w:t>根据贵方（项目名称）（项目编号）公告，正式授权下述签字人</w:t>
      </w:r>
      <w:r>
        <w:rPr>
          <w:sz w:val="24"/>
          <w:szCs w:val="21"/>
          <w:lang w:val="zh-CN"/>
        </w:rPr>
        <w:t>(</w:t>
      </w:r>
      <w:r>
        <w:rPr>
          <w:rFonts w:hAnsi="宋体"/>
          <w:sz w:val="24"/>
          <w:szCs w:val="21"/>
          <w:lang w:val="zh-CN"/>
        </w:rPr>
        <w:t>姓名和职务</w:t>
      </w:r>
      <w:r>
        <w:rPr>
          <w:sz w:val="24"/>
          <w:szCs w:val="21"/>
          <w:lang w:val="zh-CN"/>
        </w:rPr>
        <w:t>)</w:t>
      </w:r>
      <w:r>
        <w:rPr>
          <w:rFonts w:hAnsi="宋体"/>
          <w:sz w:val="24"/>
          <w:szCs w:val="21"/>
          <w:lang w:val="zh-CN"/>
        </w:rPr>
        <w:t>代表（供应商名称），提交响应性文件并参加采购。</w:t>
      </w:r>
    </w:p>
    <w:p>
      <w:pPr>
        <w:spacing w:line="360" w:lineRule="auto"/>
        <w:ind w:firstLine="480" w:firstLineChars="200"/>
        <w:rPr>
          <w:sz w:val="24"/>
          <w:szCs w:val="21"/>
        </w:rPr>
      </w:pPr>
      <w:r>
        <w:rPr>
          <w:rFonts w:hAnsi="宋体"/>
          <w:sz w:val="24"/>
          <w:szCs w:val="21"/>
        </w:rPr>
        <w:t>据此函，签字人兹宣布同意如下：</w:t>
      </w:r>
    </w:p>
    <w:p>
      <w:pPr>
        <w:spacing w:line="360" w:lineRule="auto"/>
        <w:ind w:firstLine="480" w:firstLineChars="200"/>
        <w:rPr>
          <w:sz w:val="24"/>
          <w:szCs w:val="21"/>
        </w:rPr>
      </w:pPr>
      <w:r>
        <w:rPr>
          <w:sz w:val="24"/>
          <w:szCs w:val="21"/>
        </w:rPr>
        <w:t>1</w:t>
      </w:r>
      <w:r>
        <w:rPr>
          <w:rFonts w:hAnsi="宋体"/>
          <w:sz w:val="24"/>
          <w:szCs w:val="21"/>
        </w:rPr>
        <w:t>、</w:t>
      </w:r>
      <w:r>
        <w:rPr>
          <w:rFonts w:hAnsi="宋体"/>
          <w:sz w:val="24"/>
          <w:szCs w:val="21"/>
          <w:lang w:val="zh-CN"/>
        </w:rPr>
        <w:t>我们的资格条件完全符合政府采购法和本次采购要求，</w:t>
      </w:r>
      <w:r>
        <w:rPr>
          <w:rFonts w:hAnsi="宋体"/>
          <w:sz w:val="24"/>
          <w:szCs w:val="21"/>
        </w:rPr>
        <w:t>我们</w:t>
      </w:r>
      <w:r>
        <w:rPr>
          <w:rFonts w:hAnsi="宋体"/>
          <w:sz w:val="24"/>
          <w:szCs w:val="21"/>
          <w:lang w:val="zh-CN"/>
        </w:rPr>
        <w:t>同意并向贵方提供了与本次采购活动有关的所有证据和资料</w:t>
      </w:r>
      <w:r>
        <w:rPr>
          <w:rFonts w:hAnsi="宋体"/>
          <w:sz w:val="24"/>
          <w:szCs w:val="21"/>
        </w:rPr>
        <w:t>。</w:t>
      </w:r>
    </w:p>
    <w:p>
      <w:pPr>
        <w:spacing w:line="360" w:lineRule="auto"/>
        <w:ind w:firstLine="480" w:firstLineChars="200"/>
        <w:rPr>
          <w:sz w:val="24"/>
          <w:szCs w:val="21"/>
          <w:lang w:val="zh-CN"/>
        </w:rPr>
      </w:pPr>
      <w:r>
        <w:rPr>
          <w:sz w:val="24"/>
          <w:szCs w:val="21"/>
        </w:rPr>
        <w:t>2</w:t>
      </w:r>
      <w:r>
        <w:rPr>
          <w:rFonts w:hAnsi="宋体"/>
          <w:sz w:val="24"/>
          <w:szCs w:val="21"/>
        </w:rPr>
        <w:t>、总报价为（大写）元。</w:t>
      </w:r>
    </w:p>
    <w:p>
      <w:pPr>
        <w:spacing w:line="360" w:lineRule="auto"/>
        <w:ind w:firstLine="480" w:firstLineChars="200"/>
        <w:rPr>
          <w:sz w:val="24"/>
          <w:szCs w:val="21"/>
        </w:rPr>
      </w:pPr>
      <w:r>
        <w:rPr>
          <w:sz w:val="24"/>
          <w:szCs w:val="21"/>
        </w:rPr>
        <w:t>3</w:t>
      </w:r>
      <w:r>
        <w:rPr>
          <w:rFonts w:hAnsi="宋体"/>
          <w:sz w:val="24"/>
          <w:szCs w:val="21"/>
        </w:rPr>
        <w:t>、</w:t>
      </w:r>
      <w:r>
        <w:rPr>
          <w:rFonts w:hAnsi="宋体"/>
          <w:sz w:val="24"/>
          <w:szCs w:val="21"/>
          <w:lang w:val="zh-CN"/>
        </w:rPr>
        <w:t>我们的报价产品中</w:t>
      </w:r>
      <w:r>
        <w:rPr>
          <w:rFonts w:hAnsi="宋体"/>
          <w:sz w:val="24"/>
          <w:szCs w:val="21"/>
          <w:u w:val="single"/>
        </w:rPr>
        <w:t>无</w:t>
      </w:r>
      <w:r>
        <w:rPr>
          <w:rFonts w:hAnsi="宋体"/>
          <w:sz w:val="24"/>
          <w:szCs w:val="21"/>
          <w:lang w:val="zh-CN"/>
        </w:rPr>
        <w:t>（有或无）进口产品（服务）。</w:t>
      </w:r>
    </w:p>
    <w:p>
      <w:pPr>
        <w:spacing w:line="360" w:lineRule="auto"/>
        <w:ind w:firstLine="480" w:firstLineChars="200"/>
        <w:rPr>
          <w:sz w:val="24"/>
          <w:szCs w:val="21"/>
          <w:lang w:val="zh-CN"/>
        </w:rPr>
      </w:pPr>
      <w:r>
        <w:rPr>
          <w:sz w:val="24"/>
          <w:szCs w:val="21"/>
        </w:rPr>
        <w:t>4</w:t>
      </w:r>
      <w:r>
        <w:rPr>
          <w:rFonts w:hAnsi="宋体"/>
          <w:sz w:val="24"/>
          <w:szCs w:val="21"/>
        </w:rPr>
        <w:t>、</w:t>
      </w:r>
      <w:r>
        <w:rPr>
          <w:rFonts w:hAnsi="宋体"/>
          <w:sz w:val="24"/>
          <w:szCs w:val="21"/>
          <w:lang w:val="zh-CN"/>
        </w:rPr>
        <w:t>我们已详细阅读全部响应文件及其有效补充文件，我们放弃对响应文件任何误解的权利，提交响应文件后，不对响应文件本身提出质疑。</w:t>
      </w:r>
    </w:p>
    <w:p>
      <w:pPr>
        <w:spacing w:line="360" w:lineRule="auto"/>
        <w:ind w:firstLine="480" w:firstLineChars="200"/>
        <w:rPr>
          <w:sz w:val="24"/>
          <w:szCs w:val="21"/>
        </w:rPr>
      </w:pPr>
      <w:r>
        <w:rPr>
          <w:sz w:val="24"/>
          <w:szCs w:val="21"/>
        </w:rPr>
        <w:t>5</w:t>
      </w:r>
      <w:r>
        <w:rPr>
          <w:rFonts w:hAnsi="宋体"/>
          <w:sz w:val="24"/>
          <w:szCs w:val="21"/>
        </w:rPr>
        <w:t>、一旦我方成交，我方将根据响应文件的规定，严格履行合同，保证于承诺的时间内完成货物的启动、调试等服务，并交付采购人验收、使用。</w:t>
      </w:r>
    </w:p>
    <w:p>
      <w:pPr>
        <w:spacing w:line="360" w:lineRule="auto"/>
        <w:ind w:firstLine="480" w:firstLineChars="200"/>
        <w:rPr>
          <w:sz w:val="24"/>
          <w:szCs w:val="21"/>
        </w:rPr>
      </w:pPr>
      <w:r>
        <w:rPr>
          <w:sz w:val="24"/>
          <w:szCs w:val="21"/>
        </w:rPr>
        <w:t>6</w:t>
      </w:r>
      <w:r>
        <w:rPr>
          <w:rFonts w:hAnsi="宋体"/>
          <w:sz w:val="24"/>
          <w:szCs w:val="21"/>
        </w:rPr>
        <w:t>、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pPr>
        <w:spacing w:line="360" w:lineRule="auto"/>
        <w:ind w:firstLine="480" w:firstLineChars="200"/>
        <w:rPr>
          <w:sz w:val="24"/>
          <w:szCs w:val="21"/>
        </w:rPr>
      </w:pPr>
      <w:r>
        <w:rPr>
          <w:sz w:val="24"/>
          <w:szCs w:val="21"/>
        </w:rPr>
        <w:t>7</w:t>
      </w:r>
      <w:r>
        <w:rPr>
          <w:rFonts w:hAnsi="宋体"/>
          <w:sz w:val="24"/>
          <w:szCs w:val="21"/>
        </w:rPr>
        <w:t>、我方正式通讯方式为：</w:t>
      </w:r>
    </w:p>
    <w:p>
      <w:pPr>
        <w:spacing w:line="360" w:lineRule="auto"/>
        <w:ind w:firstLine="480" w:firstLineChars="200"/>
        <w:rPr>
          <w:sz w:val="24"/>
          <w:szCs w:val="21"/>
          <w:u w:val="single"/>
        </w:rPr>
      </w:pPr>
      <w:r>
        <w:rPr>
          <w:rFonts w:hAnsi="宋体"/>
          <w:sz w:val="24"/>
          <w:szCs w:val="21"/>
        </w:rPr>
        <w:t>地址：</w:t>
      </w:r>
    </w:p>
    <w:p>
      <w:pPr>
        <w:spacing w:line="360" w:lineRule="auto"/>
        <w:ind w:firstLine="480" w:firstLineChars="200"/>
        <w:rPr>
          <w:sz w:val="24"/>
          <w:szCs w:val="21"/>
          <w:u w:val="single"/>
        </w:rPr>
      </w:pPr>
      <w:r>
        <w:rPr>
          <w:rFonts w:hAnsi="宋体"/>
          <w:sz w:val="24"/>
          <w:szCs w:val="21"/>
        </w:rPr>
        <w:t>电话：</w:t>
      </w:r>
    </w:p>
    <w:p>
      <w:pPr>
        <w:spacing w:line="360" w:lineRule="auto"/>
        <w:ind w:firstLine="480" w:firstLineChars="200"/>
        <w:rPr>
          <w:sz w:val="24"/>
          <w:szCs w:val="21"/>
          <w:u w:val="single"/>
        </w:rPr>
      </w:pPr>
      <w:r>
        <w:rPr>
          <w:rFonts w:hAnsi="宋体"/>
          <w:sz w:val="24"/>
          <w:szCs w:val="21"/>
        </w:rPr>
        <w:t>传真：</w:t>
      </w:r>
    </w:p>
    <w:p>
      <w:pPr>
        <w:spacing w:line="360" w:lineRule="auto"/>
        <w:ind w:firstLine="480" w:firstLineChars="200"/>
        <w:rPr>
          <w:sz w:val="24"/>
          <w:szCs w:val="21"/>
        </w:rPr>
      </w:pPr>
      <w:r>
        <w:rPr>
          <w:sz w:val="24"/>
          <w:szCs w:val="21"/>
        </w:rPr>
        <w:t>8</w:t>
      </w:r>
      <w:r>
        <w:rPr>
          <w:rFonts w:hAnsi="宋体"/>
          <w:sz w:val="24"/>
          <w:szCs w:val="21"/>
        </w:rPr>
        <w:t>、我方正式开户银行和账号为：</w:t>
      </w:r>
    </w:p>
    <w:p>
      <w:pPr>
        <w:spacing w:line="360" w:lineRule="auto"/>
        <w:ind w:firstLine="480" w:firstLineChars="200"/>
        <w:rPr>
          <w:sz w:val="24"/>
          <w:szCs w:val="21"/>
          <w:u w:val="single"/>
        </w:rPr>
      </w:pPr>
      <w:r>
        <w:rPr>
          <w:rFonts w:hAnsi="宋体"/>
          <w:sz w:val="24"/>
          <w:szCs w:val="21"/>
        </w:rPr>
        <w:t>开户银行：</w:t>
      </w:r>
    </w:p>
    <w:p>
      <w:pPr>
        <w:spacing w:line="360" w:lineRule="auto"/>
        <w:ind w:firstLine="480" w:firstLineChars="200"/>
        <w:rPr>
          <w:sz w:val="24"/>
          <w:szCs w:val="21"/>
        </w:rPr>
      </w:pPr>
      <w:r>
        <w:rPr>
          <w:rFonts w:hAnsi="宋体"/>
          <w:sz w:val="24"/>
          <w:szCs w:val="21"/>
        </w:rPr>
        <w:t>账号：</w:t>
      </w:r>
    </w:p>
    <w:p>
      <w:pPr>
        <w:spacing w:line="360" w:lineRule="auto"/>
        <w:ind w:firstLine="480" w:firstLineChars="200"/>
        <w:rPr>
          <w:sz w:val="24"/>
          <w:szCs w:val="21"/>
          <w:u w:val="single"/>
        </w:rPr>
      </w:pPr>
      <w:r>
        <w:rPr>
          <w:rFonts w:hAnsi="宋体"/>
          <w:sz w:val="24"/>
          <w:szCs w:val="21"/>
        </w:rPr>
        <w:t>供应商授权代表姓名（签字或签章）：</w:t>
      </w:r>
    </w:p>
    <w:p>
      <w:pPr>
        <w:spacing w:line="360" w:lineRule="auto"/>
        <w:ind w:firstLine="480" w:firstLineChars="200"/>
        <w:rPr>
          <w:sz w:val="24"/>
          <w:szCs w:val="21"/>
        </w:rPr>
      </w:pPr>
      <w:r>
        <w:rPr>
          <w:rFonts w:hAnsi="宋体"/>
          <w:sz w:val="24"/>
          <w:szCs w:val="21"/>
        </w:rPr>
        <w:t>供应商名称（公章）：</w:t>
      </w:r>
    </w:p>
    <w:p>
      <w:pPr>
        <w:spacing w:line="360" w:lineRule="auto"/>
        <w:ind w:firstLine="480" w:firstLineChars="200"/>
        <w:rPr>
          <w:sz w:val="24"/>
          <w:szCs w:val="21"/>
        </w:rPr>
      </w:pPr>
      <w:r>
        <w:rPr>
          <w:rFonts w:hAnsi="宋体"/>
          <w:sz w:val="24"/>
          <w:szCs w:val="21"/>
        </w:rPr>
        <w:t>日期：年月日</w:t>
      </w:r>
    </w:p>
    <w:p>
      <w:pPr>
        <w:spacing w:line="360" w:lineRule="auto"/>
        <w:rPr>
          <w:sz w:val="24"/>
          <w:szCs w:val="21"/>
          <w:lang w:val="zh-CN"/>
        </w:rPr>
      </w:pPr>
      <w:r>
        <w:rPr>
          <w:sz w:val="24"/>
          <w:szCs w:val="21"/>
          <w:lang w:val="zh-CN"/>
        </w:rPr>
        <w:br w:type="page"/>
      </w:r>
      <w:bookmarkEnd w:id="22"/>
      <w:bookmarkEnd w:id="23"/>
      <w:bookmarkEnd w:id="24"/>
    </w:p>
    <w:p>
      <w:pPr>
        <w:spacing w:line="360" w:lineRule="auto"/>
        <w:rPr>
          <w:sz w:val="32"/>
        </w:rPr>
      </w:pPr>
      <w:r>
        <w:rPr>
          <w:rFonts w:hAnsiTheme="minorEastAsia"/>
          <w:sz w:val="24"/>
        </w:rPr>
        <w:t>附件四、无重大违法记录声明（格式）</w:t>
      </w:r>
    </w:p>
    <w:bookmarkEnd w:id="25"/>
    <w:p>
      <w:pPr>
        <w:spacing w:line="240" w:lineRule="atLeast"/>
        <w:jc w:val="center"/>
        <w:rPr>
          <w:rFonts w:eastAsia="黑体"/>
          <w:sz w:val="28"/>
          <w:szCs w:val="36"/>
        </w:rPr>
      </w:pPr>
    </w:p>
    <w:p>
      <w:pPr>
        <w:jc w:val="center"/>
        <w:rPr>
          <w:b/>
          <w:sz w:val="36"/>
          <w:szCs w:val="36"/>
        </w:rPr>
      </w:pPr>
      <w:r>
        <w:rPr>
          <w:rFonts w:hAnsi="宋体"/>
          <w:b/>
          <w:sz w:val="36"/>
          <w:szCs w:val="36"/>
        </w:rPr>
        <w:t>无重大违法记录声明</w:t>
      </w:r>
    </w:p>
    <w:p>
      <w:pPr>
        <w:spacing w:line="360" w:lineRule="auto"/>
        <w:rPr>
          <w:rFonts w:eastAsia="黑体"/>
          <w:szCs w:val="21"/>
        </w:rPr>
      </w:pPr>
    </w:p>
    <w:p>
      <w:pPr>
        <w:spacing w:line="360" w:lineRule="auto"/>
        <w:rPr>
          <w:sz w:val="24"/>
          <w:szCs w:val="21"/>
        </w:rPr>
      </w:pPr>
      <w:r>
        <w:rPr>
          <w:rFonts w:hAnsi="宋体"/>
          <w:sz w:val="24"/>
          <w:szCs w:val="21"/>
        </w:rPr>
        <w:t>南京市疾病预防控制中心：</w:t>
      </w:r>
    </w:p>
    <w:p>
      <w:pPr>
        <w:spacing w:line="360" w:lineRule="auto"/>
        <w:rPr>
          <w:sz w:val="24"/>
        </w:rPr>
      </w:pPr>
    </w:p>
    <w:p>
      <w:pPr>
        <w:widowControl/>
        <w:shd w:val="clear" w:color="auto" w:fill="FFFFFF"/>
        <w:spacing w:line="360" w:lineRule="auto"/>
        <w:ind w:firstLine="420"/>
        <w:rPr>
          <w:kern w:val="0"/>
          <w:sz w:val="24"/>
          <w:szCs w:val="21"/>
        </w:rPr>
      </w:pPr>
      <w:r>
        <w:rPr>
          <w:rFonts w:hAnsi="宋体"/>
          <w:kern w:val="0"/>
          <w:sz w:val="24"/>
          <w:szCs w:val="21"/>
        </w:rPr>
        <w:t>我单位（供应商名称）宣布声明和承诺如下：</w:t>
      </w:r>
    </w:p>
    <w:p>
      <w:pPr>
        <w:widowControl/>
        <w:shd w:val="clear" w:color="auto" w:fill="FFFFFF"/>
        <w:spacing w:line="360" w:lineRule="auto"/>
        <w:ind w:firstLine="354" w:firstLineChars="147"/>
        <w:rPr>
          <w:b/>
          <w:kern w:val="0"/>
          <w:sz w:val="24"/>
          <w:szCs w:val="21"/>
        </w:rPr>
      </w:pPr>
      <w:r>
        <w:rPr>
          <w:rFonts w:hAnsi="宋体"/>
          <w:b/>
          <w:kern w:val="0"/>
          <w:sz w:val="24"/>
          <w:szCs w:val="21"/>
        </w:rPr>
        <w:t>我单位参加本次采购活动前</w:t>
      </w:r>
      <w:r>
        <w:rPr>
          <w:b/>
          <w:kern w:val="0"/>
          <w:sz w:val="24"/>
          <w:szCs w:val="21"/>
        </w:rPr>
        <w:t>3</w:t>
      </w:r>
      <w:r>
        <w:rPr>
          <w:rFonts w:hAnsi="宋体"/>
          <w:b/>
          <w:kern w:val="0"/>
          <w:sz w:val="24"/>
          <w:szCs w:val="21"/>
        </w:rPr>
        <w:t>年内在经营活动中没有重大违法记录，且不是失信被执行人、重大税收违法案件当事人名单、政府采购严重违法失信行为记录名单的供应商。</w:t>
      </w:r>
    </w:p>
    <w:p>
      <w:pPr>
        <w:spacing w:line="360" w:lineRule="auto"/>
        <w:ind w:firstLine="360" w:firstLineChars="150"/>
        <w:rPr>
          <w:sz w:val="24"/>
        </w:rPr>
      </w:pPr>
      <w:r>
        <w:rPr>
          <w:rFonts w:hAnsi="宋体"/>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60" w:firstLineChars="150"/>
        <w:rPr>
          <w:sz w:val="24"/>
        </w:rPr>
      </w:pPr>
    </w:p>
    <w:p>
      <w:pPr>
        <w:spacing w:line="360" w:lineRule="auto"/>
        <w:rPr>
          <w:sz w:val="24"/>
        </w:rPr>
      </w:pPr>
    </w:p>
    <w:p>
      <w:pPr>
        <w:spacing w:line="360" w:lineRule="auto"/>
        <w:rPr>
          <w:sz w:val="24"/>
        </w:rPr>
      </w:pPr>
    </w:p>
    <w:p>
      <w:pPr>
        <w:spacing w:line="360" w:lineRule="auto"/>
        <w:ind w:right="480" w:firstLine="4920" w:firstLineChars="2050"/>
        <w:rPr>
          <w:sz w:val="24"/>
        </w:rPr>
      </w:pPr>
      <w:r>
        <w:rPr>
          <w:rFonts w:hAnsi="宋体"/>
          <w:sz w:val="24"/>
        </w:rPr>
        <w:t>声明人：（公章）</w:t>
      </w:r>
    </w:p>
    <w:p>
      <w:pPr>
        <w:spacing w:line="360" w:lineRule="auto"/>
        <w:ind w:right="480"/>
        <w:jc w:val="right"/>
        <w:rPr>
          <w:b/>
          <w:bCs/>
          <w:sz w:val="52"/>
          <w:szCs w:val="44"/>
        </w:rPr>
      </w:pPr>
      <w:r>
        <w:rPr>
          <w:sz w:val="24"/>
        </w:rPr>
        <w:t>日期：年月</w:t>
      </w:r>
      <w:r>
        <w:rPr>
          <w:rFonts w:hint="eastAsia"/>
          <w:sz w:val="24"/>
        </w:rPr>
        <w:t xml:space="preserve">    日</w:t>
      </w:r>
    </w:p>
    <w:sectPr>
      <w:pgSz w:w="11906" w:h="16838"/>
      <w:pgMar w:top="1242" w:right="1797" w:bottom="1315"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EDO4W0QEAAKQ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32D1"/>
    <w:multiLevelType w:val="multilevel"/>
    <w:tmpl w:val="1A1E32D1"/>
    <w:lvl w:ilvl="0" w:tentative="0">
      <w:start w:val="1"/>
      <w:numFmt w:val="chineseCountingThousand"/>
      <w:pStyle w:val="158"/>
      <w:lvlText w:val="%1、"/>
      <w:lvlJc w:val="left"/>
      <w:pPr>
        <w:ind w:left="0" w:firstLine="0"/>
      </w:pPr>
      <w:rPr>
        <w:rFonts w:hint="eastAsia"/>
      </w:rPr>
    </w:lvl>
    <w:lvl w:ilvl="1" w:tentative="0">
      <w:start w:val="1"/>
      <w:numFmt w:val="decimal"/>
      <w:lvlRestart w:val="0"/>
      <w:pStyle w:val="159"/>
      <w:lvlText w:val="%2."/>
      <w:lvlJc w:val="left"/>
      <w:pPr>
        <w:ind w:left="851" w:hanging="851"/>
      </w:pPr>
      <w:rPr>
        <w:rFonts w:hint="eastAsia" w:eastAsia="宋体" w:asciiTheme="majorEastAsia" w:hAnsiTheme="majorEastAsia"/>
      </w:rPr>
    </w:lvl>
    <w:lvl w:ilvl="2" w:tentative="0">
      <w:start w:val="1"/>
      <w:numFmt w:val="decimal"/>
      <w:pStyle w:val="160"/>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A652469"/>
    <w:multiLevelType w:val="multilevel"/>
    <w:tmpl w:val="5A6524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150"/>
    <w:rsid w:val="0001483F"/>
    <w:rsid w:val="000245D7"/>
    <w:rsid w:val="0003261E"/>
    <w:rsid w:val="00081CC8"/>
    <w:rsid w:val="000A7429"/>
    <w:rsid w:val="000D3EAA"/>
    <w:rsid w:val="00101625"/>
    <w:rsid w:val="00120A1C"/>
    <w:rsid w:val="00131497"/>
    <w:rsid w:val="00136326"/>
    <w:rsid w:val="00173FD8"/>
    <w:rsid w:val="001818C3"/>
    <w:rsid w:val="00185088"/>
    <w:rsid w:val="001A18EB"/>
    <w:rsid w:val="001A57A4"/>
    <w:rsid w:val="001B7F27"/>
    <w:rsid w:val="001D6169"/>
    <w:rsid w:val="001D6AF4"/>
    <w:rsid w:val="00214F73"/>
    <w:rsid w:val="00220A03"/>
    <w:rsid w:val="002308C2"/>
    <w:rsid w:val="002705B1"/>
    <w:rsid w:val="002E6049"/>
    <w:rsid w:val="002F205A"/>
    <w:rsid w:val="002F5A99"/>
    <w:rsid w:val="00313036"/>
    <w:rsid w:val="00355C2E"/>
    <w:rsid w:val="00371CB6"/>
    <w:rsid w:val="003735A5"/>
    <w:rsid w:val="003928B9"/>
    <w:rsid w:val="00396AF2"/>
    <w:rsid w:val="003A1BB0"/>
    <w:rsid w:val="003B20AD"/>
    <w:rsid w:val="003E1B01"/>
    <w:rsid w:val="003F007B"/>
    <w:rsid w:val="00415C91"/>
    <w:rsid w:val="00444B23"/>
    <w:rsid w:val="00465D67"/>
    <w:rsid w:val="0047385A"/>
    <w:rsid w:val="00486A3C"/>
    <w:rsid w:val="004A2686"/>
    <w:rsid w:val="004A2D50"/>
    <w:rsid w:val="004B6625"/>
    <w:rsid w:val="004D46F1"/>
    <w:rsid w:val="004E43C1"/>
    <w:rsid w:val="004F13A8"/>
    <w:rsid w:val="004F55DA"/>
    <w:rsid w:val="00521F01"/>
    <w:rsid w:val="005337C5"/>
    <w:rsid w:val="0054071A"/>
    <w:rsid w:val="005411BB"/>
    <w:rsid w:val="00545744"/>
    <w:rsid w:val="00560756"/>
    <w:rsid w:val="00565FC0"/>
    <w:rsid w:val="00567975"/>
    <w:rsid w:val="0057079D"/>
    <w:rsid w:val="00571E83"/>
    <w:rsid w:val="00575D98"/>
    <w:rsid w:val="00591E44"/>
    <w:rsid w:val="00593FCF"/>
    <w:rsid w:val="005A7FD0"/>
    <w:rsid w:val="005B345A"/>
    <w:rsid w:val="005F4A20"/>
    <w:rsid w:val="00614C1C"/>
    <w:rsid w:val="006272A6"/>
    <w:rsid w:val="00634CF7"/>
    <w:rsid w:val="006374E8"/>
    <w:rsid w:val="00670BB8"/>
    <w:rsid w:val="00670F07"/>
    <w:rsid w:val="00674DAC"/>
    <w:rsid w:val="006856FA"/>
    <w:rsid w:val="006935F5"/>
    <w:rsid w:val="00695F0C"/>
    <w:rsid w:val="006967DF"/>
    <w:rsid w:val="006B1F36"/>
    <w:rsid w:val="006C425D"/>
    <w:rsid w:val="006F0A29"/>
    <w:rsid w:val="006F1FAE"/>
    <w:rsid w:val="00725A5C"/>
    <w:rsid w:val="0078706D"/>
    <w:rsid w:val="007D1B75"/>
    <w:rsid w:val="007D35F9"/>
    <w:rsid w:val="007D6F98"/>
    <w:rsid w:val="007E271B"/>
    <w:rsid w:val="007F32F8"/>
    <w:rsid w:val="008142FA"/>
    <w:rsid w:val="00836460"/>
    <w:rsid w:val="0084169D"/>
    <w:rsid w:val="00842C3F"/>
    <w:rsid w:val="00860866"/>
    <w:rsid w:val="00872AC8"/>
    <w:rsid w:val="00885C20"/>
    <w:rsid w:val="008A4358"/>
    <w:rsid w:val="008B141D"/>
    <w:rsid w:val="008B2D65"/>
    <w:rsid w:val="008C0140"/>
    <w:rsid w:val="008D6C75"/>
    <w:rsid w:val="008E290D"/>
    <w:rsid w:val="00934840"/>
    <w:rsid w:val="00954744"/>
    <w:rsid w:val="00955F97"/>
    <w:rsid w:val="00961782"/>
    <w:rsid w:val="00970AF8"/>
    <w:rsid w:val="00990E54"/>
    <w:rsid w:val="009A0A31"/>
    <w:rsid w:val="009A35D0"/>
    <w:rsid w:val="009B7132"/>
    <w:rsid w:val="009C1CEA"/>
    <w:rsid w:val="009C4A81"/>
    <w:rsid w:val="00A04908"/>
    <w:rsid w:val="00A26C16"/>
    <w:rsid w:val="00A35DF6"/>
    <w:rsid w:val="00A37E35"/>
    <w:rsid w:val="00A65606"/>
    <w:rsid w:val="00A743D6"/>
    <w:rsid w:val="00A97173"/>
    <w:rsid w:val="00AA240D"/>
    <w:rsid w:val="00AA3892"/>
    <w:rsid w:val="00AB3272"/>
    <w:rsid w:val="00AC468A"/>
    <w:rsid w:val="00AD56D9"/>
    <w:rsid w:val="00AE0828"/>
    <w:rsid w:val="00AF2B46"/>
    <w:rsid w:val="00B020DE"/>
    <w:rsid w:val="00B02CB4"/>
    <w:rsid w:val="00B129CA"/>
    <w:rsid w:val="00B2082F"/>
    <w:rsid w:val="00B320FE"/>
    <w:rsid w:val="00B92CEB"/>
    <w:rsid w:val="00BA1A10"/>
    <w:rsid w:val="00BB680D"/>
    <w:rsid w:val="00BD6C1C"/>
    <w:rsid w:val="00BE731E"/>
    <w:rsid w:val="00BF1727"/>
    <w:rsid w:val="00BF7491"/>
    <w:rsid w:val="00C01F5E"/>
    <w:rsid w:val="00C21A74"/>
    <w:rsid w:val="00C24889"/>
    <w:rsid w:val="00C3682A"/>
    <w:rsid w:val="00C606D0"/>
    <w:rsid w:val="00C73DB5"/>
    <w:rsid w:val="00C95ABB"/>
    <w:rsid w:val="00CA77C8"/>
    <w:rsid w:val="00CB4136"/>
    <w:rsid w:val="00CD29E7"/>
    <w:rsid w:val="00CD6A1A"/>
    <w:rsid w:val="00CD7089"/>
    <w:rsid w:val="00CE141F"/>
    <w:rsid w:val="00CF683A"/>
    <w:rsid w:val="00D23047"/>
    <w:rsid w:val="00D33608"/>
    <w:rsid w:val="00D43639"/>
    <w:rsid w:val="00D52334"/>
    <w:rsid w:val="00D56368"/>
    <w:rsid w:val="00D766ED"/>
    <w:rsid w:val="00D768D6"/>
    <w:rsid w:val="00D84211"/>
    <w:rsid w:val="00D91895"/>
    <w:rsid w:val="00D9480C"/>
    <w:rsid w:val="00D96E90"/>
    <w:rsid w:val="00DB07E1"/>
    <w:rsid w:val="00DD02BC"/>
    <w:rsid w:val="00DE2433"/>
    <w:rsid w:val="00DF3CFC"/>
    <w:rsid w:val="00E15191"/>
    <w:rsid w:val="00E16AA3"/>
    <w:rsid w:val="00E41371"/>
    <w:rsid w:val="00E55FF1"/>
    <w:rsid w:val="00E61259"/>
    <w:rsid w:val="00E633C3"/>
    <w:rsid w:val="00E67BF0"/>
    <w:rsid w:val="00E84805"/>
    <w:rsid w:val="00EA7510"/>
    <w:rsid w:val="00EE58EA"/>
    <w:rsid w:val="00F303ED"/>
    <w:rsid w:val="00F42D37"/>
    <w:rsid w:val="00F459EA"/>
    <w:rsid w:val="00F55C03"/>
    <w:rsid w:val="00F62A18"/>
    <w:rsid w:val="00F632B3"/>
    <w:rsid w:val="00F85E1D"/>
    <w:rsid w:val="00FA7CCF"/>
    <w:rsid w:val="00FC2286"/>
    <w:rsid w:val="00FC3672"/>
    <w:rsid w:val="00FC5536"/>
    <w:rsid w:val="00FC65BB"/>
    <w:rsid w:val="00FD4B46"/>
    <w:rsid w:val="00FE5B82"/>
    <w:rsid w:val="00FF3AC5"/>
    <w:rsid w:val="0A452054"/>
    <w:rsid w:val="13E17898"/>
    <w:rsid w:val="153B0912"/>
    <w:rsid w:val="30AC43FC"/>
    <w:rsid w:val="3C0C6D87"/>
    <w:rsid w:val="432D5888"/>
    <w:rsid w:val="5353469F"/>
    <w:rsid w:val="5BD44E23"/>
    <w:rsid w:val="6CFE2CAC"/>
    <w:rsid w:val="76335F07"/>
    <w:rsid w:val="78BC3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57"/>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4">
    <w:name w:val="heading 2"/>
    <w:basedOn w:val="1"/>
    <w:next w:val="1"/>
    <w:link w:val="58"/>
    <w:qFormat/>
    <w:uiPriority w:val="99"/>
    <w:pPr>
      <w:keepNext/>
      <w:keepLines/>
      <w:spacing w:before="120" w:after="120"/>
      <w:jc w:val="left"/>
      <w:outlineLvl w:val="1"/>
    </w:pPr>
    <w:rPr>
      <w:rFonts w:ascii="Cambria" w:hAnsi="Cambria"/>
      <w:b/>
      <w:bCs/>
      <w:kern w:val="0"/>
      <w:sz w:val="32"/>
      <w:szCs w:val="32"/>
    </w:rPr>
  </w:style>
  <w:style w:type="paragraph" w:styleId="5">
    <w:name w:val="heading 3"/>
    <w:basedOn w:val="1"/>
    <w:next w:val="6"/>
    <w:link w:val="90"/>
    <w:qFormat/>
    <w:uiPriority w:val="99"/>
    <w:pPr>
      <w:keepNext/>
      <w:keepLines/>
      <w:spacing w:before="120" w:after="120"/>
      <w:outlineLvl w:val="2"/>
    </w:pPr>
    <w:rPr>
      <w:b/>
      <w:bCs/>
      <w:kern w:val="0"/>
      <w:sz w:val="32"/>
      <w:szCs w:val="32"/>
    </w:rPr>
  </w:style>
  <w:style w:type="paragraph" w:styleId="7">
    <w:name w:val="heading 4"/>
    <w:basedOn w:val="1"/>
    <w:next w:val="6"/>
    <w:link w:val="60"/>
    <w:qFormat/>
    <w:uiPriority w:val="99"/>
    <w:pPr>
      <w:keepNext/>
      <w:keepLines/>
      <w:spacing w:before="120" w:after="120"/>
      <w:outlineLvl w:val="3"/>
    </w:pPr>
    <w:rPr>
      <w:rFonts w:ascii="Cambria" w:hAnsi="Cambria"/>
      <w:b/>
      <w:bCs/>
      <w:kern w:val="0"/>
      <w:sz w:val="28"/>
      <w:szCs w:val="28"/>
    </w:rPr>
  </w:style>
  <w:style w:type="paragraph" w:styleId="8">
    <w:name w:val="heading 5"/>
    <w:basedOn w:val="1"/>
    <w:next w:val="6"/>
    <w:link w:val="61"/>
    <w:qFormat/>
    <w:uiPriority w:val="99"/>
    <w:pPr>
      <w:keepNext/>
      <w:autoSpaceDE w:val="0"/>
      <w:autoSpaceDN w:val="0"/>
      <w:adjustRightInd w:val="0"/>
      <w:spacing w:beforeLines="50" w:afterLines="50"/>
      <w:outlineLvl w:val="4"/>
    </w:pPr>
    <w:rPr>
      <w:b/>
      <w:bCs/>
      <w:kern w:val="0"/>
      <w:sz w:val="28"/>
      <w:szCs w:val="28"/>
    </w:rPr>
  </w:style>
  <w:style w:type="paragraph" w:styleId="9">
    <w:name w:val="heading 6"/>
    <w:basedOn w:val="1"/>
    <w:next w:val="1"/>
    <w:link w:val="62"/>
    <w:qFormat/>
    <w:uiPriority w:val="99"/>
    <w:pPr>
      <w:keepNext/>
      <w:keepLines/>
      <w:spacing w:before="240" w:after="64" w:line="320" w:lineRule="auto"/>
      <w:outlineLvl w:val="5"/>
    </w:pPr>
    <w:rPr>
      <w:rFonts w:ascii="Cambria" w:hAnsi="Cambria"/>
      <w:b/>
      <w:bCs/>
      <w:kern w:val="0"/>
      <w:sz w:val="24"/>
      <w:szCs w:val="24"/>
    </w:rPr>
  </w:style>
  <w:style w:type="paragraph" w:styleId="10">
    <w:name w:val="heading 7"/>
    <w:basedOn w:val="1"/>
    <w:next w:val="1"/>
    <w:link w:val="63"/>
    <w:qFormat/>
    <w:uiPriority w:val="99"/>
    <w:pPr>
      <w:keepNext/>
      <w:keepLines/>
      <w:spacing w:before="240" w:after="64" w:line="320" w:lineRule="auto"/>
      <w:outlineLvl w:val="6"/>
    </w:pPr>
    <w:rPr>
      <w:b/>
      <w:bCs/>
      <w:kern w:val="0"/>
      <w:sz w:val="24"/>
      <w:szCs w:val="24"/>
    </w:rPr>
  </w:style>
  <w:style w:type="paragraph" w:styleId="11">
    <w:name w:val="heading 8"/>
    <w:basedOn w:val="1"/>
    <w:next w:val="1"/>
    <w:link w:val="64"/>
    <w:qFormat/>
    <w:uiPriority w:val="99"/>
    <w:pPr>
      <w:keepNext/>
      <w:keepLines/>
      <w:spacing w:before="240" w:after="64" w:line="320" w:lineRule="auto"/>
      <w:outlineLvl w:val="7"/>
    </w:pPr>
    <w:rPr>
      <w:rFonts w:ascii="Cambria" w:hAnsi="Cambria"/>
      <w:kern w:val="0"/>
      <w:sz w:val="24"/>
      <w:szCs w:val="24"/>
    </w:rPr>
  </w:style>
  <w:style w:type="paragraph" w:styleId="12">
    <w:name w:val="heading 9"/>
    <w:basedOn w:val="1"/>
    <w:next w:val="1"/>
    <w:link w:val="65"/>
    <w:qFormat/>
    <w:uiPriority w:val="99"/>
    <w:pPr>
      <w:keepNext/>
      <w:keepLines/>
      <w:spacing w:before="240" w:after="64" w:line="320" w:lineRule="auto"/>
      <w:outlineLvl w:val="8"/>
    </w:pPr>
    <w:rPr>
      <w:rFonts w:ascii="Cambria" w:hAnsi="Cambria"/>
      <w:kern w:val="0"/>
      <w:szCs w:val="21"/>
    </w:rPr>
  </w:style>
  <w:style w:type="character" w:default="1" w:styleId="52">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2"/>
    <w:qFormat/>
    <w:uiPriority w:val="99"/>
    <w:rPr>
      <w:rFonts w:asciiTheme="minorHAnsi" w:hAnsiTheme="minorHAnsi" w:eastAsiaTheme="minorEastAsia"/>
      <w:sz w:val="20"/>
    </w:rPr>
  </w:style>
  <w:style w:type="paragraph" w:styleId="6">
    <w:name w:val="Normal Indent"/>
    <w:basedOn w:val="1"/>
    <w:link w:val="91"/>
    <w:qFormat/>
    <w:uiPriority w:val="0"/>
    <w:pPr>
      <w:ind w:firstLine="420"/>
    </w:pPr>
    <w:rPr>
      <w:rFonts w:asciiTheme="minorHAnsi" w:hAnsiTheme="minorHAnsi"/>
      <w:szCs w:val="22"/>
    </w:rPr>
  </w:style>
  <w:style w:type="paragraph" w:styleId="13">
    <w:name w:val="List 3"/>
    <w:basedOn w:val="1"/>
    <w:qFormat/>
    <w:uiPriority w:val="99"/>
    <w:pPr>
      <w:ind w:left="1260" w:hanging="420"/>
    </w:pPr>
  </w:style>
  <w:style w:type="paragraph" w:styleId="14">
    <w:name w:val="toc 7"/>
    <w:basedOn w:val="1"/>
    <w:next w:val="1"/>
    <w:semiHidden/>
    <w:qFormat/>
    <w:uiPriority w:val="99"/>
    <w:pPr>
      <w:ind w:left="1260"/>
      <w:jc w:val="left"/>
    </w:pPr>
    <w:rPr>
      <w:sz w:val="18"/>
    </w:rPr>
  </w:style>
  <w:style w:type="paragraph" w:styleId="15">
    <w:name w:val="index 8"/>
    <w:basedOn w:val="1"/>
    <w:next w:val="1"/>
    <w:semiHidden/>
    <w:qFormat/>
    <w:uiPriority w:val="99"/>
    <w:pPr>
      <w:ind w:left="2940"/>
    </w:pPr>
  </w:style>
  <w:style w:type="paragraph" w:styleId="16">
    <w:name w:val="index 5"/>
    <w:basedOn w:val="1"/>
    <w:next w:val="1"/>
    <w:semiHidden/>
    <w:qFormat/>
    <w:uiPriority w:val="99"/>
    <w:pPr>
      <w:ind w:left="1680"/>
    </w:pPr>
  </w:style>
  <w:style w:type="paragraph" w:styleId="17">
    <w:name w:val="Document Map"/>
    <w:basedOn w:val="1"/>
    <w:link w:val="100"/>
    <w:semiHidden/>
    <w:qFormat/>
    <w:uiPriority w:val="99"/>
    <w:pPr>
      <w:shd w:val="clear" w:color="auto" w:fill="000080"/>
    </w:pPr>
    <w:rPr>
      <w:rFonts w:asciiTheme="minorHAnsi" w:hAnsiTheme="minorHAnsi" w:eastAsiaTheme="minorEastAsia"/>
      <w:sz w:val="2"/>
      <w:szCs w:val="22"/>
    </w:rPr>
  </w:style>
  <w:style w:type="paragraph" w:styleId="18">
    <w:name w:val="annotation text"/>
    <w:basedOn w:val="1"/>
    <w:link w:val="123"/>
    <w:unhideWhenUsed/>
    <w:qFormat/>
    <w:uiPriority w:val="0"/>
    <w:pPr>
      <w:jc w:val="left"/>
    </w:pPr>
  </w:style>
  <w:style w:type="paragraph" w:styleId="19">
    <w:name w:val="index 6"/>
    <w:basedOn w:val="1"/>
    <w:next w:val="1"/>
    <w:semiHidden/>
    <w:qFormat/>
    <w:uiPriority w:val="99"/>
    <w:pPr>
      <w:ind w:left="2100"/>
    </w:pPr>
  </w:style>
  <w:style w:type="paragraph" w:styleId="20">
    <w:name w:val="Body Text 3"/>
    <w:basedOn w:val="1"/>
    <w:link w:val="117"/>
    <w:qFormat/>
    <w:uiPriority w:val="99"/>
    <w:rPr>
      <w:rFonts w:asciiTheme="minorHAnsi" w:hAnsiTheme="minorHAnsi" w:eastAsiaTheme="minorEastAsia"/>
      <w:sz w:val="16"/>
      <w:szCs w:val="16"/>
    </w:rPr>
  </w:style>
  <w:style w:type="paragraph" w:styleId="21">
    <w:name w:val="Body Text Indent"/>
    <w:basedOn w:val="1"/>
    <w:link w:val="139"/>
    <w:qFormat/>
    <w:uiPriority w:val="99"/>
    <w:pPr>
      <w:ind w:firstLine="645"/>
    </w:pPr>
    <w:rPr>
      <w:rFonts w:asciiTheme="minorHAnsi" w:hAnsiTheme="minorHAnsi" w:eastAsiaTheme="minorEastAsia"/>
      <w:sz w:val="20"/>
    </w:rPr>
  </w:style>
  <w:style w:type="paragraph" w:styleId="22">
    <w:name w:val="index 4"/>
    <w:basedOn w:val="1"/>
    <w:next w:val="1"/>
    <w:semiHidden/>
    <w:qFormat/>
    <w:uiPriority w:val="99"/>
    <w:pPr>
      <w:ind w:left="1260"/>
    </w:pPr>
  </w:style>
  <w:style w:type="paragraph" w:styleId="23">
    <w:name w:val="toc 5"/>
    <w:basedOn w:val="1"/>
    <w:next w:val="1"/>
    <w:semiHidden/>
    <w:qFormat/>
    <w:uiPriority w:val="99"/>
    <w:pPr>
      <w:ind w:left="840"/>
      <w:jc w:val="left"/>
    </w:pPr>
    <w:rPr>
      <w:sz w:val="18"/>
    </w:rPr>
  </w:style>
  <w:style w:type="paragraph" w:styleId="24">
    <w:name w:val="toc 3"/>
    <w:basedOn w:val="1"/>
    <w:next w:val="1"/>
    <w:semiHidden/>
    <w:qFormat/>
    <w:uiPriority w:val="99"/>
    <w:pPr>
      <w:ind w:left="420"/>
      <w:jc w:val="left"/>
    </w:pPr>
    <w:rPr>
      <w:i/>
      <w:sz w:val="20"/>
    </w:rPr>
  </w:style>
  <w:style w:type="paragraph" w:styleId="25">
    <w:name w:val="Plain Text"/>
    <w:basedOn w:val="1"/>
    <w:link w:val="127"/>
    <w:qFormat/>
    <w:uiPriority w:val="0"/>
    <w:rPr>
      <w:rFonts w:ascii="宋体" w:hAnsi="Courier New" w:cs="Courier New" w:eastAsiaTheme="minorEastAsia"/>
      <w:szCs w:val="21"/>
    </w:rPr>
  </w:style>
  <w:style w:type="paragraph" w:styleId="26">
    <w:name w:val="toc 8"/>
    <w:basedOn w:val="1"/>
    <w:next w:val="1"/>
    <w:semiHidden/>
    <w:qFormat/>
    <w:uiPriority w:val="99"/>
    <w:pPr>
      <w:ind w:left="1470"/>
      <w:jc w:val="left"/>
    </w:pPr>
    <w:rPr>
      <w:sz w:val="18"/>
    </w:rPr>
  </w:style>
  <w:style w:type="paragraph" w:styleId="27">
    <w:name w:val="index 3"/>
    <w:basedOn w:val="1"/>
    <w:next w:val="1"/>
    <w:semiHidden/>
    <w:qFormat/>
    <w:uiPriority w:val="99"/>
    <w:pPr>
      <w:ind w:left="840"/>
    </w:pPr>
  </w:style>
  <w:style w:type="paragraph" w:styleId="28">
    <w:name w:val="Date"/>
    <w:basedOn w:val="1"/>
    <w:next w:val="1"/>
    <w:link w:val="97"/>
    <w:qFormat/>
    <w:uiPriority w:val="99"/>
    <w:pPr>
      <w:ind w:left="100" w:leftChars="2500"/>
    </w:pPr>
    <w:rPr>
      <w:rFonts w:asciiTheme="minorHAnsi" w:hAnsiTheme="minorHAnsi" w:eastAsiaTheme="minorEastAsia"/>
      <w:sz w:val="20"/>
    </w:rPr>
  </w:style>
  <w:style w:type="paragraph" w:styleId="29">
    <w:name w:val="Body Text Indent 2"/>
    <w:basedOn w:val="1"/>
    <w:link w:val="136"/>
    <w:qFormat/>
    <w:uiPriority w:val="99"/>
    <w:pPr>
      <w:ind w:left="630" w:firstLine="645"/>
    </w:pPr>
    <w:rPr>
      <w:rFonts w:asciiTheme="minorHAnsi" w:hAnsiTheme="minorHAnsi" w:eastAsiaTheme="minorEastAsia"/>
      <w:sz w:val="20"/>
    </w:rPr>
  </w:style>
  <w:style w:type="paragraph" w:styleId="30">
    <w:name w:val="Balloon Text"/>
    <w:basedOn w:val="1"/>
    <w:link w:val="120"/>
    <w:semiHidden/>
    <w:qFormat/>
    <w:uiPriority w:val="99"/>
    <w:rPr>
      <w:rFonts w:asciiTheme="minorHAnsi" w:hAnsiTheme="minorHAnsi" w:eastAsiaTheme="minorEastAsia" w:cstheme="minorBidi"/>
      <w:sz w:val="18"/>
      <w:szCs w:val="18"/>
    </w:rPr>
  </w:style>
  <w:style w:type="paragraph" w:styleId="31">
    <w:name w:val="footer"/>
    <w:basedOn w:val="1"/>
    <w:link w:val="113"/>
    <w:qFormat/>
    <w:uiPriority w:val="99"/>
    <w:pPr>
      <w:tabs>
        <w:tab w:val="center" w:pos="4153"/>
        <w:tab w:val="right" w:pos="8306"/>
      </w:tabs>
      <w:snapToGrid w:val="0"/>
      <w:jc w:val="left"/>
    </w:pPr>
    <w:rPr>
      <w:rFonts w:asciiTheme="minorHAnsi" w:hAnsiTheme="minorHAnsi"/>
      <w:sz w:val="18"/>
      <w:szCs w:val="22"/>
    </w:rPr>
  </w:style>
  <w:style w:type="paragraph" w:styleId="32">
    <w:name w:val="header"/>
    <w:basedOn w:val="1"/>
    <w:link w:val="105"/>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semiHidden/>
    <w:qFormat/>
    <w:uiPriority w:val="99"/>
    <w:pPr>
      <w:ind w:left="630"/>
      <w:jc w:val="left"/>
    </w:pPr>
    <w:rPr>
      <w:sz w:val="18"/>
    </w:rPr>
  </w:style>
  <w:style w:type="paragraph" w:styleId="35">
    <w:name w:val="index heading"/>
    <w:basedOn w:val="1"/>
    <w:next w:val="36"/>
    <w:semiHidden/>
    <w:qFormat/>
    <w:uiPriority w:val="99"/>
  </w:style>
  <w:style w:type="paragraph" w:styleId="36">
    <w:name w:val="index 1"/>
    <w:basedOn w:val="1"/>
    <w:next w:val="1"/>
    <w:semiHidden/>
    <w:qFormat/>
    <w:uiPriority w:val="99"/>
    <w:pPr>
      <w:jc w:val="center"/>
    </w:pPr>
    <w:rPr>
      <w:rFonts w:ascii="仿宋_GB2312" w:hAnsi="宋体" w:eastAsia="仿宋_GB2312"/>
      <w:sz w:val="30"/>
      <w:szCs w:val="24"/>
    </w:rPr>
  </w:style>
  <w:style w:type="paragraph" w:styleId="37">
    <w:name w:val="toc 6"/>
    <w:basedOn w:val="1"/>
    <w:next w:val="1"/>
    <w:semiHidden/>
    <w:qFormat/>
    <w:uiPriority w:val="99"/>
    <w:pPr>
      <w:ind w:left="1050"/>
      <w:jc w:val="left"/>
    </w:pPr>
    <w:rPr>
      <w:sz w:val="18"/>
    </w:rPr>
  </w:style>
  <w:style w:type="paragraph" w:styleId="38">
    <w:name w:val="Body Text Indent 3"/>
    <w:basedOn w:val="1"/>
    <w:link w:val="126"/>
    <w:qFormat/>
    <w:uiPriority w:val="99"/>
    <w:pPr>
      <w:ind w:left="645" w:firstLine="645"/>
    </w:pPr>
    <w:rPr>
      <w:rFonts w:asciiTheme="minorHAnsi" w:hAnsiTheme="minorHAnsi" w:eastAsiaTheme="minorEastAsia"/>
      <w:sz w:val="16"/>
      <w:szCs w:val="16"/>
    </w:rPr>
  </w:style>
  <w:style w:type="paragraph" w:styleId="39">
    <w:name w:val="index 7"/>
    <w:basedOn w:val="1"/>
    <w:next w:val="1"/>
    <w:semiHidden/>
    <w:qFormat/>
    <w:uiPriority w:val="99"/>
    <w:pPr>
      <w:ind w:left="2520"/>
    </w:pPr>
  </w:style>
  <w:style w:type="paragraph" w:styleId="40">
    <w:name w:val="index 9"/>
    <w:basedOn w:val="1"/>
    <w:next w:val="1"/>
    <w:semiHidden/>
    <w:qFormat/>
    <w:uiPriority w:val="99"/>
    <w:pPr>
      <w:ind w:left="3360"/>
    </w:pPr>
  </w:style>
  <w:style w:type="paragraph" w:styleId="41">
    <w:name w:val="table of figures"/>
    <w:basedOn w:val="1"/>
    <w:next w:val="1"/>
    <w:semiHidden/>
    <w:qFormat/>
    <w:uiPriority w:val="99"/>
    <w:pPr>
      <w:ind w:left="840" w:hanging="420"/>
    </w:pPr>
  </w:style>
  <w:style w:type="paragraph" w:styleId="42">
    <w:name w:val="toc 2"/>
    <w:basedOn w:val="1"/>
    <w:next w:val="1"/>
    <w:qFormat/>
    <w:uiPriority w:val="39"/>
    <w:pPr>
      <w:ind w:left="210"/>
      <w:jc w:val="left"/>
    </w:pPr>
    <w:rPr>
      <w:smallCaps/>
      <w:sz w:val="20"/>
    </w:rPr>
  </w:style>
  <w:style w:type="paragraph" w:styleId="43">
    <w:name w:val="toc 9"/>
    <w:basedOn w:val="1"/>
    <w:next w:val="1"/>
    <w:semiHidden/>
    <w:qFormat/>
    <w:uiPriority w:val="99"/>
    <w:pPr>
      <w:ind w:left="1680"/>
      <w:jc w:val="left"/>
    </w:pPr>
    <w:rPr>
      <w:sz w:val="18"/>
    </w:rPr>
  </w:style>
  <w:style w:type="paragraph" w:styleId="44">
    <w:name w:val="Body Text 2"/>
    <w:basedOn w:val="1"/>
    <w:link w:val="134"/>
    <w:qFormat/>
    <w:uiPriority w:val="99"/>
    <w:pPr>
      <w:widowControl/>
      <w:jc w:val="center"/>
    </w:pPr>
    <w:rPr>
      <w:rFonts w:asciiTheme="minorHAnsi" w:hAnsiTheme="minorHAnsi" w:eastAsiaTheme="minorEastAsia"/>
      <w:sz w:val="20"/>
    </w:rPr>
  </w:style>
  <w:style w:type="paragraph" w:styleId="45">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6">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7">
    <w:name w:val="index 2"/>
    <w:basedOn w:val="1"/>
    <w:next w:val="1"/>
    <w:semiHidden/>
    <w:qFormat/>
    <w:uiPriority w:val="99"/>
    <w:pPr>
      <w:ind w:left="420"/>
    </w:pPr>
  </w:style>
  <w:style w:type="paragraph" w:styleId="48">
    <w:name w:val="Title"/>
    <w:basedOn w:val="1"/>
    <w:next w:val="1"/>
    <w:link w:val="143"/>
    <w:qFormat/>
    <w:uiPriority w:val="10"/>
    <w:pPr>
      <w:spacing w:before="240" w:after="60"/>
      <w:jc w:val="center"/>
      <w:outlineLvl w:val="0"/>
    </w:pPr>
    <w:rPr>
      <w:rFonts w:ascii="Cambria" w:hAnsi="Cambria" w:eastAsiaTheme="minorEastAsia"/>
      <w:b/>
      <w:bCs/>
      <w:sz w:val="32"/>
      <w:szCs w:val="32"/>
    </w:rPr>
  </w:style>
  <w:style w:type="paragraph" w:styleId="49">
    <w:name w:val="annotation subject"/>
    <w:basedOn w:val="18"/>
    <w:next w:val="18"/>
    <w:link w:val="124"/>
    <w:semiHidden/>
    <w:qFormat/>
    <w:uiPriority w:val="99"/>
    <w:rPr>
      <w:rFonts w:asciiTheme="minorHAnsi" w:hAnsiTheme="minorHAnsi" w:eastAsiaTheme="minorEastAsia"/>
      <w:b/>
      <w:bCs/>
      <w:sz w:val="20"/>
    </w:rPr>
  </w:style>
  <w:style w:type="paragraph" w:styleId="50">
    <w:name w:val="Body Text First Indent"/>
    <w:basedOn w:val="3"/>
    <w:link w:val="118"/>
    <w:qFormat/>
    <w:uiPriority w:val="99"/>
    <w:pPr>
      <w:spacing w:after="120"/>
      <w:ind w:firstLine="420" w:firstLineChars="100"/>
    </w:pPr>
  </w:style>
  <w:style w:type="character" w:styleId="53">
    <w:name w:val="page number"/>
    <w:basedOn w:val="52"/>
    <w:qFormat/>
    <w:uiPriority w:val="0"/>
    <w:rPr>
      <w:rFonts w:cs="Times New Roman"/>
    </w:rPr>
  </w:style>
  <w:style w:type="character" w:styleId="54">
    <w:name w:val="FollowedHyperlink"/>
    <w:qFormat/>
    <w:uiPriority w:val="99"/>
    <w:rPr>
      <w:rFonts w:cs="Times New Roman"/>
      <w:color w:val="800080"/>
      <w:u w:val="single"/>
    </w:rPr>
  </w:style>
  <w:style w:type="character" w:styleId="55">
    <w:name w:val="Hyperlink"/>
    <w:qFormat/>
    <w:uiPriority w:val="99"/>
    <w:rPr>
      <w:rFonts w:cs="Times New Roman"/>
      <w:color w:val="0000FF"/>
      <w:u w:val="single"/>
    </w:rPr>
  </w:style>
  <w:style w:type="character" w:styleId="56">
    <w:name w:val="annotation reference"/>
    <w:qFormat/>
    <w:uiPriority w:val="0"/>
    <w:rPr>
      <w:rFonts w:cs="Times New Roman"/>
      <w:sz w:val="21"/>
    </w:rPr>
  </w:style>
  <w:style w:type="character" w:customStyle="1" w:styleId="57">
    <w:name w:val="标题 1 Char"/>
    <w:basedOn w:val="52"/>
    <w:link w:val="2"/>
    <w:qFormat/>
    <w:uiPriority w:val="0"/>
    <w:rPr>
      <w:rFonts w:ascii="黑体" w:hAnsi="Times New Roman" w:eastAsia="黑体" w:cs="Times New Roman"/>
      <w:b/>
      <w:kern w:val="44"/>
      <w:sz w:val="28"/>
      <w:szCs w:val="20"/>
    </w:rPr>
  </w:style>
  <w:style w:type="character" w:customStyle="1" w:styleId="58">
    <w:name w:val="标题 2 Char"/>
    <w:basedOn w:val="52"/>
    <w:link w:val="4"/>
    <w:qFormat/>
    <w:uiPriority w:val="99"/>
    <w:rPr>
      <w:rFonts w:ascii="Cambria" w:hAnsi="Cambria" w:eastAsia="宋体" w:cs="Times New Roman"/>
      <w:b/>
      <w:bCs/>
      <w:kern w:val="0"/>
      <w:sz w:val="32"/>
      <w:szCs w:val="32"/>
    </w:rPr>
  </w:style>
  <w:style w:type="character" w:customStyle="1" w:styleId="59">
    <w:name w:val="标题 3 Char"/>
    <w:basedOn w:val="52"/>
    <w:qFormat/>
    <w:uiPriority w:val="99"/>
    <w:rPr>
      <w:rFonts w:ascii="Times New Roman" w:hAnsi="Times New Roman" w:eastAsia="宋体" w:cs="Times New Roman"/>
      <w:b/>
      <w:bCs/>
      <w:sz w:val="32"/>
      <w:szCs w:val="32"/>
    </w:rPr>
  </w:style>
  <w:style w:type="character" w:customStyle="1" w:styleId="60">
    <w:name w:val="标题 4 Char"/>
    <w:basedOn w:val="52"/>
    <w:link w:val="7"/>
    <w:qFormat/>
    <w:uiPriority w:val="99"/>
    <w:rPr>
      <w:rFonts w:ascii="Cambria" w:hAnsi="Cambria" w:eastAsia="宋体" w:cs="Times New Roman"/>
      <w:b/>
      <w:bCs/>
      <w:kern w:val="0"/>
      <w:sz w:val="28"/>
      <w:szCs w:val="28"/>
    </w:rPr>
  </w:style>
  <w:style w:type="character" w:customStyle="1" w:styleId="61">
    <w:name w:val="标题 5 Char"/>
    <w:basedOn w:val="52"/>
    <w:link w:val="8"/>
    <w:qFormat/>
    <w:uiPriority w:val="99"/>
    <w:rPr>
      <w:rFonts w:ascii="Times New Roman" w:hAnsi="Times New Roman" w:eastAsia="宋体" w:cs="Times New Roman"/>
      <w:b/>
      <w:bCs/>
      <w:kern w:val="0"/>
      <w:sz w:val="28"/>
      <w:szCs w:val="28"/>
    </w:rPr>
  </w:style>
  <w:style w:type="character" w:customStyle="1" w:styleId="62">
    <w:name w:val="标题 6 Char"/>
    <w:basedOn w:val="52"/>
    <w:link w:val="9"/>
    <w:qFormat/>
    <w:uiPriority w:val="99"/>
    <w:rPr>
      <w:rFonts w:ascii="Cambria" w:hAnsi="Cambria" w:eastAsia="宋体" w:cs="Times New Roman"/>
      <w:b/>
      <w:bCs/>
      <w:kern w:val="0"/>
      <w:sz w:val="24"/>
      <w:szCs w:val="24"/>
    </w:rPr>
  </w:style>
  <w:style w:type="character" w:customStyle="1" w:styleId="63">
    <w:name w:val="标题 7 Char"/>
    <w:basedOn w:val="52"/>
    <w:link w:val="10"/>
    <w:qFormat/>
    <w:uiPriority w:val="99"/>
    <w:rPr>
      <w:rFonts w:ascii="Times New Roman" w:hAnsi="Times New Roman" w:eastAsia="宋体" w:cs="Times New Roman"/>
      <w:b/>
      <w:bCs/>
      <w:kern w:val="0"/>
      <w:sz w:val="24"/>
      <w:szCs w:val="24"/>
    </w:rPr>
  </w:style>
  <w:style w:type="character" w:customStyle="1" w:styleId="64">
    <w:name w:val="标题 8 Char"/>
    <w:basedOn w:val="52"/>
    <w:link w:val="11"/>
    <w:qFormat/>
    <w:uiPriority w:val="99"/>
    <w:rPr>
      <w:rFonts w:ascii="Cambria" w:hAnsi="Cambria" w:eastAsia="宋体" w:cs="Times New Roman"/>
      <w:kern w:val="0"/>
      <w:sz w:val="24"/>
      <w:szCs w:val="24"/>
    </w:rPr>
  </w:style>
  <w:style w:type="character" w:customStyle="1" w:styleId="65">
    <w:name w:val="标题 9 Char"/>
    <w:basedOn w:val="52"/>
    <w:link w:val="12"/>
    <w:qFormat/>
    <w:uiPriority w:val="99"/>
    <w:rPr>
      <w:rFonts w:ascii="Cambria" w:hAnsi="Cambria" w:eastAsia="宋体" w:cs="Times New Roman"/>
      <w:kern w:val="0"/>
      <w:szCs w:val="21"/>
    </w:rPr>
  </w:style>
  <w:style w:type="character" w:customStyle="1" w:styleId="66">
    <w:name w:val="批注主题 Char"/>
    <w:semiHidden/>
    <w:qFormat/>
    <w:locked/>
    <w:uiPriority w:val="99"/>
    <w:rPr>
      <w:rFonts w:cs="Times New Roman"/>
      <w:b/>
      <w:bCs/>
      <w:sz w:val="20"/>
      <w:szCs w:val="20"/>
    </w:rPr>
  </w:style>
  <w:style w:type="character" w:customStyle="1" w:styleId="67">
    <w:name w:val="标题 Char"/>
    <w:basedOn w:val="52"/>
    <w:qFormat/>
    <w:uiPriority w:val="10"/>
    <w:rPr>
      <w:rFonts w:ascii="Cambria" w:hAnsi="Cambria" w:cs="Times New Roman"/>
      <w:b/>
      <w:bCs/>
      <w:sz w:val="32"/>
      <w:szCs w:val="32"/>
    </w:rPr>
  </w:style>
  <w:style w:type="character" w:customStyle="1" w:styleId="68">
    <w:name w:val="批注框文本 Char"/>
    <w:semiHidden/>
    <w:qFormat/>
    <w:uiPriority w:val="99"/>
    <w:rPr>
      <w:sz w:val="18"/>
      <w:szCs w:val="18"/>
    </w:rPr>
  </w:style>
  <w:style w:type="character" w:customStyle="1" w:styleId="69">
    <w:name w:val="正文文本 3 Char"/>
    <w:qFormat/>
    <w:locked/>
    <w:uiPriority w:val="99"/>
    <w:rPr>
      <w:rFonts w:cs="Times New Roman"/>
      <w:sz w:val="16"/>
      <w:szCs w:val="16"/>
    </w:rPr>
  </w:style>
  <w:style w:type="character" w:customStyle="1" w:styleId="70">
    <w:name w:val="纯文本 Char1"/>
    <w:qFormat/>
    <w:uiPriority w:val="0"/>
    <w:rPr>
      <w:rFonts w:ascii="宋体" w:hAnsi="Courier New" w:eastAsia="宋体"/>
      <w:kern w:val="2"/>
      <w:sz w:val="21"/>
      <w:lang w:val="en-US" w:eastAsia="zh-CN" w:bidi="ar-SA"/>
    </w:rPr>
  </w:style>
  <w:style w:type="character" w:customStyle="1" w:styleId="71">
    <w:name w:val="正文首行缩进 Char"/>
    <w:basedOn w:val="72"/>
    <w:qFormat/>
    <w:locked/>
    <w:uiPriority w:val="99"/>
    <w:rPr>
      <w:rFonts w:cs="Times New Roman"/>
      <w:sz w:val="20"/>
      <w:szCs w:val="20"/>
    </w:rPr>
  </w:style>
  <w:style w:type="character" w:customStyle="1" w:styleId="72">
    <w:name w:val="正文文本 Char"/>
    <w:qFormat/>
    <w:locked/>
    <w:uiPriority w:val="99"/>
    <w:rPr>
      <w:rFonts w:cs="Times New Roman"/>
      <w:sz w:val="20"/>
      <w:szCs w:val="20"/>
    </w:rPr>
  </w:style>
  <w:style w:type="character" w:customStyle="1" w:styleId="73">
    <w:name w:val="纯文本 Char"/>
    <w:qFormat/>
    <w:locked/>
    <w:uiPriority w:val="0"/>
    <w:rPr>
      <w:rFonts w:ascii="宋体" w:hAnsi="Courier New" w:cs="Courier New"/>
      <w:szCs w:val="21"/>
    </w:rPr>
  </w:style>
  <w:style w:type="character" w:customStyle="1" w:styleId="74">
    <w:name w:val="二级目录 Char"/>
    <w:link w:val="75"/>
    <w:qFormat/>
    <w:uiPriority w:val="99"/>
    <w:rPr>
      <w:b/>
      <w:sz w:val="30"/>
      <w:szCs w:val="28"/>
    </w:rPr>
  </w:style>
  <w:style w:type="paragraph" w:customStyle="1" w:styleId="75">
    <w:name w:val="二级目录"/>
    <w:next w:val="1"/>
    <w:link w:val="74"/>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6">
    <w:name w:val="HTML 预设格式 Char"/>
    <w:qFormat/>
    <w:locked/>
    <w:uiPriority w:val="99"/>
    <w:rPr>
      <w:rFonts w:ascii="Courier New" w:hAnsi="Courier New" w:cs="Courier New"/>
      <w:sz w:val="20"/>
      <w:szCs w:val="20"/>
    </w:rPr>
  </w:style>
  <w:style w:type="character" w:customStyle="1" w:styleId="77">
    <w:name w:val="文档结构图 Char"/>
    <w:semiHidden/>
    <w:qFormat/>
    <w:locked/>
    <w:uiPriority w:val="99"/>
    <w:rPr>
      <w:rFonts w:cs="Times New Roman"/>
      <w:sz w:val="2"/>
      <w:shd w:val="clear" w:color="auto" w:fill="000080"/>
    </w:rPr>
  </w:style>
  <w:style w:type="character" w:customStyle="1" w:styleId="78">
    <w:name w:val="批注文字 Char"/>
    <w:qFormat/>
    <w:locked/>
    <w:uiPriority w:val="0"/>
    <w:rPr>
      <w:rFonts w:cs="Times New Roman"/>
      <w:sz w:val="20"/>
      <w:szCs w:val="20"/>
    </w:rPr>
  </w:style>
  <w:style w:type="character" w:customStyle="1" w:styleId="79">
    <w:name w:val="正文2 Char"/>
    <w:link w:val="80"/>
    <w:qFormat/>
    <w:uiPriority w:val="0"/>
    <w:rPr>
      <w:sz w:val="24"/>
    </w:rPr>
  </w:style>
  <w:style w:type="paragraph" w:customStyle="1" w:styleId="80">
    <w:name w:val="正文2"/>
    <w:basedOn w:val="1"/>
    <w:link w:val="79"/>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1">
    <w:name w:val="para_small"/>
    <w:qFormat/>
    <w:uiPriority w:val="99"/>
    <w:rPr>
      <w:rFonts w:cs="Times New Roman"/>
    </w:rPr>
  </w:style>
  <w:style w:type="character" w:customStyle="1" w:styleId="82">
    <w:name w:val="页脚 Char"/>
    <w:qFormat/>
    <w:locked/>
    <w:uiPriority w:val="99"/>
    <w:rPr>
      <w:rFonts w:eastAsia="宋体" w:cs="Times New Roman"/>
      <w:sz w:val="18"/>
    </w:rPr>
  </w:style>
  <w:style w:type="character" w:customStyle="1" w:styleId="83">
    <w:name w:val="正文文本 2 Char"/>
    <w:qFormat/>
    <w:locked/>
    <w:uiPriority w:val="99"/>
    <w:rPr>
      <w:rFonts w:cs="Times New Roman"/>
      <w:sz w:val="20"/>
      <w:szCs w:val="20"/>
    </w:rPr>
  </w:style>
  <w:style w:type="character" w:customStyle="1" w:styleId="84">
    <w:name w:val="正文文本缩进 2 Char"/>
    <w:qFormat/>
    <w:locked/>
    <w:uiPriority w:val="99"/>
    <w:rPr>
      <w:rFonts w:cs="Times New Roman"/>
      <w:sz w:val="20"/>
      <w:szCs w:val="20"/>
    </w:rPr>
  </w:style>
  <w:style w:type="character" w:customStyle="1" w:styleId="85">
    <w:name w:val="页眉 Char"/>
    <w:qFormat/>
    <w:locked/>
    <w:uiPriority w:val="99"/>
    <w:rPr>
      <w:rFonts w:eastAsia="宋体" w:cs="Times New Roman"/>
      <w:sz w:val="18"/>
    </w:rPr>
  </w:style>
  <w:style w:type="character" w:customStyle="1" w:styleId="86">
    <w:name w:val="正文文本缩进 Char"/>
    <w:qFormat/>
    <w:locked/>
    <w:uiPriority w:val="99"/>
    <w:rPr>
      <w:rFonts w:cs="Times New Roman"/>
      <w:sz w:val="20"/>
      <w:szCs w:val="20"/>
    </w:rPr>
  </w:style>
  <w:style w:type="character" w:customStyle="1" w:styleId="87">
    <w:name w:val="point_normal1"/>
    <w:qFormat/>
    <w:uiPriority w:val="99"/>
    <w:rPr>
      <w:rFonts w:ascii="Arial" w:hAnsi="Arial" w:cs="Arial"/>
      <w:sz w:val="18"/>
      <w:szCs w:val="18"/>
    </w:rPr>
  </w:style>
  <w:style w:type="character" w:customStyle="1" w:styleId="88">
    <w:name w:val="日期 Char"/>
    <w:qFormat/>
    <w:locked/>
    <w:uiPriority w:val="99"/>
    <w:rPr>
      <w:rFonts w:cs="Times New Roman"/>
      <w:sz w:val="20"/>
      <w:szCs w:val="20"/>
    </w:rPr>
  </w:style>
  <w:style w:type="character" w:customStyle="1" w:styleId="89">
    <w:name w:val="正文文本缩进 3 Char"/>
    <w:qFormat/>
    <w:locked/>
    <w:uiPriority w:val="99"/>
    <w:rPr>
      <w:rFonts w:cs="Times New Roman"/>
      <w:sz w:val="16"/>
      <w:szCs w:val="16"/>
    </w:rPr>
  </w:style>
  <w:style w:type="character" w:customStyle="1" w:styleId="90">
    <w:name w:val="标题 3 Char1"/>
    <w:link w:val="5"/>
    <w:qFormat/>
    <w:locked/>
    <w:uiPriority w:val="99"/>
    <w:rPr>
      <w:rFonts w:ascii="Times New Roman" w:hAnsi="Times New Roman" w:eastAsia="宋体" w:cs="Times New Roman"/>
      <w:b/>
      <w:bCs/>
      <w:kern w:val="0"/>
      <w:sz w:val="32"/>
      <w:szCs w:val="32"/>
    </w:rPr>
  </w:style>
  <w:style w:type="character" w:customStyle="1" w:styleId="91">
    <w:name w:val="正文缩进 Char"/>
    <w:link w:val="6"/>
    <w:qFormat/>
    <w:locked/>
    <w:uiPriority w:val="0"/>
    <w:rPr>
      <w:rFonts w:eastAsia="宋体" w:cs="Times New Roman"/>
    </w:rPr>
  </w:style>
  <w:style w:type="paragraph" w:customStyle="1" w:styleId="92">
    <w:name w:val="丁华标题1"/>
    <w:basedOn w:val="2"/>
    <w:next w:val="93"/>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3">
    <w:name w:val="丁华正文"/>
    <w:basedOn w:val="38"/>
    <w:qFormat/>
    <w:uiPriority w:val="99"/>
    <w:pPr>
      <w:adjustRightInd w:val="0"/>
      <w:snapToGrid w:val="0"/>
      <w:spacing w:line="360" w:lineRule="auto"/>
      <w:ind w:left="0" w:firstLine="510"/>
    </w:pPr>
    <w:rPr>
      <w:sz w:val="24"/>
    </w:rPr>
  </w:style>
  <w:style w:type="paragraph" w:customStyle="1" w:styleId="9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5">
    <w:name w:val="默认段落字体 Para Char"/>
    <w:basedOn w:val="1"/>
    <w:qFormat/>
    <w:uiPriority w:val="99"/>
    <w:rPr>
      <w:sz w:val="24"/>
      <w:szCs w:val="24"/>
    </w:rPr>
  </w:style>
  <w:style w:type="paragraph" w:customStyle="1" w:styleId="96">
    <w:name w:val="Char Char Char Char"/>
    <w:basedOn w:val="17"/>
    <w:qFormat/>
    <w:uiPriority w:val="99"/>
    <w:pPr>
      <w:adjustRightInd w:val="0"/>
      <w:snapToGrid w:val="0"/>
      <w:spacing w:line="360" w:lineRule="auto"/>
    </w:pPr>
    <w:rPr>
      <w:rFonts w:ascii="Tahoma" w:hAnsi="Tahoma"/>
      <w:sz w:val="24"/>
      <w:szCs w:val="24"/>
    </w:rPr>
  </w:style>
  <w:style w:type="character" w:customStyle="1" w:styleId="97">
    <w:name w:val="日期 Char1"/>
    <w:basedOn w:val="52"/>
    <w:link w:val="28"/>
    <w:semiHidden/>
    <w:qFormat/>
    <w:uiPriority w:val="99"/>
    <w:rPr>
      <w:rFonts w:ascii="Times New Roman" w:hAnsi="Times New Roman" w:eastAsia="宋体" w:cs="Times New Roman"/>
      <w:szCs w:val="20"/>
    </w:rPr>
  </w:style>
  <w:style w:type="paragraph" w:customStyle="1" w:styleId="98">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9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0">
    <w:name w:val="文档结构图 Char1"/>
    <w:basedOn w:val="52"/>
    <w:link w:val="17"/>
    <w:semiHidden/>
    <w:qFormat/>
    <w:uiPriority w:val="99"/>
    <w:rPr>
      <w:rFonts w:ascii="宋体" w:hAnsi="Times New Roman" w:eastAsia="宋体" w:cs="Times New Roman"/>
      <w:sz w:val="18"/>
      <w:szCs w:val="18"/>
    </w:rPr>
  </w:style>
  <w:style w:type="paragraph" w:customStyle="1" w:styleId="101">
    <w:name w:val="Char Char Char"/>
    <w:basedOn w:val="17"/>
    <w:qFormat/>
    <w:uiPriority w:val="99"/>
    <w:pPr>
      <w:spacing w:line="436" w:lineRule="exact"/>
    </w:pPr>
    <w:rPr>
      <w:szCs w:val="24"/>
    </w:rPr>
  </w:style>
  <w:style w:type="character" w:customStyle="1" w:styleId="102">
    <w:name w:val="正文文本 Char1"/>
    <w:basedOn w:val="52"/>
    <w:link w:val="3"/>
    <w:semiHidden/>
    <w:qFormat/>
    <w:uiPriority w:val="99"/>
    <w:rPr>
      <w:rFonts w:ascii="Times New Roman" w:hAnsi="Times New Roman" w:eastAsia="宋体" w:cs="Times New Roman"/>
      <w:szCs w:val="20"/>
    </w:rPr>
  </w:style>
  <w:style w:type="paragraph" w:customStyle="1" w:styleId="103">
    <w:name w:val="Char Char Char Char Char Char Char Char Char Char Char Char Char"/>
    <w:basedOn w:val="17"/>
    <w:qFormat/>
    <w:uiPriority w:val="99"/>
    <w:rPr>
      <w:rFonts w:ascii="Tahoma" w:hAnsi="Tahoma"/>
      <w:sz w:val="24"/>
      <w:szCs w:val="24"/>
    </w:rPr>
  </w:style>
  <w:style w:type="paragraph" w:customStyle="1" w:styleId="104">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5">
    <w:name w:val="页眉 Char1"/>
    <w:basedOn w:val="52"/>
    <w:link w:val="32"/>
    <w:semiHidden/>
    <w:qFormat/>
    <w:uiPriority w:val="99"/>
    <w:rPr>
      <w:rFonts w:ascii="Times New Roman" w:hAnsi="Times New Roman" w:eastAsia="宋体" w:cs="Times New Roman"/>
      <w:sz w:val="18"/>
      <w:szCs w:val="18"/>
    </w:rPr>
  </w:style>
  <w:style w:type="paragraph" w:customStyle="1" w:styleId="106">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9">
    <w:name w:val="Char Char2 Char Char"/>
    <w:basedOn w:val="17"/>
    <w:qFormat/>
    <w:uiPriority w:val="99"/>
    <w:pPr>
      <w:spacing w:line="436" w:lineRule="exact"/>
    </w:pPr>
    <w:rPr>
      <w:rFonts w:ascii="Tahoma" w:hAnsi="Tahoma"/>
      <w:sz w:val="24"/>
    </w:rPr>
  </w:style>
  <w:style w:type="paragraph" w:customStyle="1" w:styleId="110">
    <w:name w:val="retrait3"/>
    <w:basedOn w:val="1"/>
    <w:qFormat/>
    <w:uiPriority w:val="99"/>
    <w:pPr>
      <w:widowControl/>
      <w:spacing w:before="20" w:after="20"/>
      <w:ind w:left="851"/>
      <w:jc w:val="left"/>
    </w:pPr>
    <w:rPr>
      <w:rFonts w:ascii="Arial" w:hAnsi="Arial"/>
      <w:kern w:val="0"/>
      <w:sz w:val="24"/>
    </w:rPr>
  </w:style>
  <w:style w:type="paragraph" w:customStyle="1" w:styleId="111">
    <w:name w:val="列出段落3"/>
    <w:basedOn w:val="1"/>
    <w:qFormat/>
    <w:uiPriority w:val="34"/>
    <w:pPr>
      <w:ind w:firstLine="420" w:firstLineChars="200"/>
    </w:pPr>
  </w:style>
  <w:style w:type="paragraph" w:customStyle="1" w:styleId="112">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3">
    <w:name w:val="页脚 Char1"/>
    <w:basedOn w:val="52"/>
    <w:link w:val="31"/>
    <w:semiHidden/>
    <w:qFormat/>
    <w:uiPriority w:val="99"/>
    <w:rPr>
      <w:rFonts w:ascii="Times New Roman" w:hAnsi="Times New Roman" w:eastAsia="宋体" w:cs="Times New Roman"/>
      <w:sz w:val="18"/>
      <w:szCs w:val="18"/>
    </w:rPr>
  </w:style>
  <w:style w:type="paragraph" w:customStyle="1" w:styleId="114">
    <w:name w:val="Char"/>
    <w:basedOn w:val="1"/>
    <w:qFormat/>
    <w:uiPriority w:val="0"/>
    <w:rPr>
      <w:rFonts w:ascii="Tahoma" w:hAnsi="Tahoma" w:cs="仿宋_GB2312"/>
      <w:sz w:val="24"/>
      <w:szCs w:val="28"/>
    </w:rPr>
  </w:style>
  <w:style w:type="paragraph" w:customStyle="1" w:styleId="11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6">
    <w:name w:val="HTML 预设格式 Char1"/>
    <w:basedOn w:val="52"/>
    <w:link w:val="45"/>
    <w:semiHidden/>
    <w:qFormat/>
    <w:uiPriority w:val="99"/>
    <w:rPr>
      <w:rFonts w:ascii="Courier New" w:hAnsi="Courier New" w:eastAsia="宋体" w:cs="Courier New"/>
      <w:sz w:val="20"/>
      <w:szCs w:val="20"/>
    </w:rPr>
  </w:style>
  <w:style w:type="character" w:customStyle="1" w:styleId="117">
    <w:name w:val="正文文本 3 Char1"/>
    <w:basedOn w:val="52"/>
    <w:link w:val="20"/>
    <w:semiHidden/>
    <w:qFormat/>
    <w:uiPriority w:val="99"/>
    <w:rPr>
      <w:rFonts w:ascii="Times New Roman" w:hAnsi="Times New Roman" w:eastAsia="宋体" w:cs="Times New Roman"/>
      <w:sz w:val="16"/>
      <w:szCs w:val="16"/>
    </w:rPr>
  </w:style>
  <w:style w:type="character" w:customStyle="1" w:styleId="118">
    <w:name w:val="正文首行缩进 Char1"/>
    <w:basedOn w:val="102"/>
    <w:link w:val="50"/>
    <w:semiHidden/>
    <w:qFormat/>
    <w:uiPriority w:val="99"/>
    <w:rPr>
      <w:rFonts w:ascii="Times New Roman" w:hAnsi="Times New Roman" w:eastAsia="宋体" w:cs="Times New Roman"/>
      <w:szCs w:val="20"/>
    </w:rPr>
  </w:style>
  <w:style w:type="paragraph" w:customStyle="1" w:styleId="119">
    <w:name w:val="段落"/>
    <w:basedOn w:val="1"/>
    <w:qFormat/>
    <w:uiPriority w:val="99"/>
    <w:pPr>
      <w:spacing w:line="460" w:lineRule="exact"/>
      <w:ind w:firstLine="480"/>
    </w:pPr>
    <w:rPr>
      <w:sz w:val="24"/>
    </w:rPr>
  </w:style>
  <w:style w:type="character" w:customStyle="1" w:styleId="120">
    <w:name w:val="批注框文本 Char1"/>
    <w:basedOn w:val="52"/>
    <w:link w:val="30"/>
    <w:semiHidden/>
    <w:qFormat/>
    <w:uiPriority w:val="99"/>
    <w:rPr>
      <w:rFonts w:ascii="Times New Roman" w:hAnsi="Times New Roman" w:eastAsia="宋体" w:cs="Times New Roman"/>
      <w:sz w:val="18"/>
      <w:szCs w:val="18"/>
    </w:rPr>
  </w:style>
  <w:style w:type="paragraph" w:customStyle="1" w:styleId="121">
    <w:name w:val="论文正文"/>
    <w:basedOn w:val="29"/>
    <w:qFormat/>
    <w:uiPriority w:val="99"/>
  </w:style>
  <w:style w:type="paragraph" w:customStyle="1" w:styleId="122">
    <w:name w:val="列出段落1"/>
    <w:basedOn w:val="1"/>
    <w:qFormat/>
    <w:uiPriority w:val="34"/>
    <w:pPr>
      <w:ind w:firstLine="420" w:firstLineChars="200"/>
    </w:pPr>
  </w:style>
  <w:style w:type="character" w:customStyle="1" w:styleId="123">
    <w:name w:val="批注文字 Char1"/>
    <w:basedOn w:val="52"/>
    <w:link w:val="18"/>
    <w:semiHidden/>
    <w:qFormat/>
    <w:uiPriority w:val="99"/>
    <w:rPr>
      <w:rFonts w:ascii="Times New Roman" w:hAnsi="Times New Roman" w:eastAsia="宋体" w:cs="Times New Roman"/>
      <w:szCs w:val="20"/>
    </w:rPr>
  </w:style>
  <w:style w:type="character" w:customStyle="1" w:styleId="124">
    <w:name w:val="批注主题 Char1"/>
    <w:basedOn w:val="123"/>
    <w:link w:val="49"/>
    <w:semiHidden/>
    <w:qFormat/>
    <w:uiPriority w:val="99"/>
    <w:rPr>
      <w:rFonts w:ascii="Times New Roman" w:hAnsi="Times New Roman" w:eastAsia="宋体" w:cs="Times New Roman"/>
      <w:b/>
      <w:bCs/>
      <w:szCs w:val="20"/>
    </w:rPr>
  </w:style>
  <w:style w:type="paragraph" w:customStyle="1" w:styleId="125">
    <w:name w:val="TOC 标题1"/>
    <w:basedOn w:val="2"/>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6">
    <w:name w:val="正文文本缩进 3 Char1"/>
    <w:basedOn w:val="52"/>
    <w:link w:val="38"/>
    <w:semiHidden/>
    <w:qFormat/>
    <w:uiPriority w:val="99"/>
    <w:rPr>
      <w:rFonts w:ascii="Times New Roman" w:hAnsi="Times New Roman" w:eastAsia="宋体" w:cs="Times New Roman"/>
      <w:sz w:val="16"/>
      <w:szCs w:val="16"/>
    </w:rPr>
  </w:style>
  <w:style w:type="character" w:customStyle="1" w:styleId="127">
    <w:name w:val="纯文本 Char2"/>
    <w:basedOn w:val="52"/>
    <w:link w:val="25"/>
    <w:semiHidden/>
    <w:qFormat/>
    <w:uiPriority w:val="99"/>
    <w:rPr>
      <w:rFonts w:ascii="宋体" w:hAnsi="Courier New" w:eastAsia="宋体" w:cs="Courier New"/>
      <w:szCs w:val="21"/>
    </w:rPr>
  </w:style>
  <w:style w:type="paragraph" w:customStyle="1" w:styleId="128">
    <w:name w:val="丁华标题2"/>
    <w:basedOn w:val="4"/>
    <w:next w:val="93"/>
    <w:qFormat/>
    <w:uiPriority w:val="99"/>
    <w:pPr>
      <w:tabs>
        <w:tab w:val="left" w:pos="567"/>
      </w:tabs>
      <w:spacing w:line="415" w:lineRule="auto"/>
      <w:ind w:left="567" w:hanging="567"/>
    </w:pPr>
    <w:rPr>
      <w:rFonts w:ascii="Arial" w:hAnsi="Arial" w:eastAsia="黑体"/>
      <w:b w:val="0"/>
      <w:sz w:val="28"/>
      <w:szCs w:val="20"/>
    </w:rPr>
  </w:style>
  <w:style w:type="paragraph" w:customStyle="1" w:styleId="129">
    <w:name w:val="默认段落字体 Para Char Char Char Char Char Char Char"/>
    <w:basedOn w:val="1"/>
    <w:qFormat/>
    <w:uiPriority w:val="99"/>
  </w:style>
  <w:style w:type="paragraph" w:customStyle="1" w:styleId="1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1">
    <w:name w:val="标题6"/>
    <w:basedOn w:val="8"/>
    <w:qFormat/>
    <w:uiPriority w:val="99"/>
    <w:pPr>
      <w:keepLines/>
      <w:tabs>
        <w:tab w:val="left" w:pos="420"/>
      </w:tabs>
      <w:adjustRightInd/>
      <w:ind w:left="420" w:hanging="420"/>
    </w:pPr>
    <w:rPr>
      <w:b w:val="0"/>
      <w:kern w:val="2"/>
      <w:sz w:val="24"/>
    </w:rPr>
  </w:style>
  <w:style w:type="paragraph" w:styleId="132">
    <w:name w:val="List Paragraph"/>
    <w:basedOn w:val="1"/>
    <w:qFormat/>
    <w:uiPriority w:val="34"/>
    <w:pPr>
      <w:ind w:firstLine="420" w:firstLineChars="200"/>
    </w:pPr>
    <w:rPr>
      <w:rFonts w:ascii="Calibri" w:hAnsi="Calibri"/>
      <w:szCs w:val="22"/>
    </w:rPr>
  </w:style>
  <w:style w:type="paragraph" w:customStyle="1" w:styleId="133">
    <w:name w:val="表格1"/>
    <w:basedOn w:val="1"/>
    <w:qFormat/>
    <w:uiPriority w:val="99"/>
    <w:pPr>
      <w:adjustRightInd w:val="0"/>
      <w:textAlignment w:val="baseline"/>
    </w:pPr>
    <w:rPr>
      <w:rFonts w:ascii="宋体"/>
      <w:kern w:val="24"/>
      <w:szCs w:val="21"/>
    </w:rPr>
  </w:style>
  <w:style w:type="character" w:customStyle="1" w:styleId="134">
    <w:name w:val="正文文本 2 Char1"/>
    <w:basedOn w:val="52"/>
    <w:link w:val="44"/>
    <w:semiHidden/>
    <w:qFormat/>
    <w:uiPriority w:val="99"/>
    <w:rPr>
      <w:rFonts w:ascii="Times New Roman" w:hAnsi="Times New Roman" w:eastAsia="宋体" w:cs="Times New Roman"/>
      <w:szCs w:val="20"/>
    </w:rPr>
  </w:style>
  <w:style w:type="paragraph" w:customStyle="1" w:styleId="135">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6">
    <w:name w:val="正文文本缩进 2 Char1"/>
    <w:basedOn w:val="52"/>
    <w:link w:val="29"/>
    <w:semiHidden/>
    <w:qFormat/>
    <w:uiPriority w:val="99"/>
    <w:rPr>
      <w:rFonts w:ascii="Times New Roman" w:hAnsi="Times New Roman" w:eastAsia="宋体" w:cs="Times New Roman"/>
      <w:szCs w:val="20"/>
    </w:rPr>
  </w:style>
  <w:style w:type="paragraph" w:styleId="13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8">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39">
    <w:name w:val="正文文本缩进 Char1"/>
    <w:basedOn w:val="52"/>
    <w:link w:val="21"/>
    <w:semiHidden/>
    <w:qFormat/>
    <w:uiPriority w:val="99"/>
    <w:rPr>
      <w:rFonts w:ascii="Times New Roman" w:hAnsi="Times New Roman" w:eastAsia="宋体" w:cs="Times New Roman"/>
      <w:szCs w:val="20"/>
    </w:rPr>
  </w:style>
  <w:style w:type="paragraph" w:customStyle="1" w:styleId="140">
    <w:name w:val="tableau"/>
    <w:basedOn w:val="1"/>
    <w:qFormat/>
    <w:uiPriority w:val="99"/>
    <w:pPr>
      <w:widowControl/>
      <w:spacing w:before="20" w:after="20"/>
      <w:jc w:val="center"/>
    </w:pPr>
    <w:rPr>
      <w:rFonts w:ascii="Arial" w:hAnsi="Arial"/>
      <w:kern w:val="0"/>
      <w:sz w:val="16"/>
      <w:lang w:eastAsia="en-US"/>
    </w:rPr>
  </w:style>
  <w:style w:type="paragraph" w:customStyle="1" w:styleId="141">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2">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3">
    <w:name w:val="标题 Char1"/>
    <w:basedOn w:val="52"/>
    <w:link w:val="48"/>
    <w:qFormat/>
    <w:uiPriority w:val="10"/>
    <w:rPr>
      <w:rFonts w:eastAsia="宋体" w:asciiTheme="majorHAnsi" w:hAnsiTheme="majorHAnsi" w:cstheme="majorBidi"/>
      <w:b/>
      <w:bCs/>
      <w:sz w:val="32"/>
      <w:szCs w:val="32"/>
    </w:rPr>
  </w:style>
  <w:style w:type="paragraph" w:customStyle="1" w:styleId="144">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6">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7">
    <w:name w:val="List Paragraph1"/>
    <w:basedOn w:val="1"/>
    <w:qFormat/>
    <w:uiPriority w:val="99"/>
    <w:pPr>
      <w:ind w:firstLine="420" w:firstLineChars="200"/>
    </w:pPr>
    <w:rPr>
      <w:szCs w:val="24"/>
    </w:rPr>
  </w:style>
  <w:style w:type="paragraph" w:customStyle="1" w:styleId="148">
    <w:name w:val="列出段落2"/>
    <w:basedOn w:val="1"/>
    <w:qFormat/>
    <w:uiPriority w:val="34"/>
    <w:pPr>
      <w:ind w:firstLine="420" w:firstLineChars="200"/>
    </w:pPr>
  </w:style>
  <w:style w:type="paragraph" w:customStyle="1" w:styleId="149">
    <w:name w:val="丁华标题3"/>
    <w:basedOn w:val="128"/>
    <w:next w:val="93"/>
    <w:qFormat/>
    <w:uiPriority w:val="99"/>
    <w:pPr>
      <w:tabs>
        <w:tab w:val="left" w:pos="1470"/>
        <w:tab w:val="left" w:pos="1980"/>
        <w:tab w:val="clear" w:pos="567"/>
      </w:tabs>
      <w:spacing w:after="0"/>
      <w:ind w:left="1980" w:hanging="420"/>
      <w:outlineLvl w:val="2"/>
    </w:pPr>
    <w:rPr>
      <w:sz w:val="24"/>
    </w:rPr>
  </w:style>
  <w:style w:type="paragraph" w:customStyle="1" w:styleId="15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2">
    <w:name w:val="msolistparagraph"/>
    <w:basedOn w:val="1"/>
    <w:qFormat/>
    <w:uiPriority w:val="99"/>
    <w:pPr>
      <w:ind w:firstLine="420" w:firstLineChars="200"/>
    </w:pPr>
    <w:rPr>
      <w:rFonts w:ascii="Calibri" w:hAnsi="Calibri"/>
      <w:szCs w:val="22"/>
    </w:rPr>
  </w:style>
  <w:style w:type="paragraph" w:customStyle="1" w:styleId="15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4">
    <w:name w:val="p0"/>
    <w:basedOn w:val="1"/>
    <w:qFormat/>
    <w:uiPriority w:val="99"/>
    <w:pPr>
      <w:widowControl/>
    </w:pPr>
    <w:rPr>
      <w:kern w:val="0"/>
      <w:szCs w:val="21"/>
    </w:rPr>
  </w:style>
  <w:style w:type="paragraph" w:customStyle="1" w:styleId="155">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6">
    <w:name w:val="样式"/>
    <w:basedOn w:val="1"/>
    <w:next w:val="3"/>
    <w:qFormat/>
    <w:uiPriority w:val="99"/>
    <w:rPr>
      <w:rFonts w:ascii="楷体_GB2312" w:hAnsi="Arial" w:eastAsia="楷体_GB2312"/>
      <w:sz w:val="28"/>
    </w:rPr>
  </w:style>
  <w:style w:type="paragraph" w:customStyle="1" w:styleId="15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8">
    <w:name w:val="一级标题"/>
    <w:basedOn w:val="4"/>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59">
    <w:name w:val="二级标题"/>
    <w:basedOn w:val="5"/>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0">
    <w:name w:val="三级标题"/>
    <w:link w:val="161"/>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1">
    <w:name w:val="三级标题 Char"/>
    <w:basedOn w:val="52"/>
    <w:link w:val="160"/>
    <w:qFormat/>
    <w:uiPriority w:val="0"/>
    <w:rPr>
      <w:rFonts w:ascii="Times New Roman" w:hAnsi="Times New Roman" w:eastAsia="宋体" w:cs="Times New Roman"/>
      <w:sz w:val="24"/>
      <w:szCs w:val="24"/>
    </w:rPr>
  </w:style>
  <w:style w:type="character" w:customStyle="1" w:styleId="162">
    <w:name w:val="正文文本 (2)_"/>
    <w:basedOn w:val="52"/>
    <w:link w:val="163"/>
    <w:qFormat/>
    <w:uiPriority w:val="0"/>
    <w:rPr>
      <w:rFonts w:ascii="微软雅黑" w:hAnsi="微软雅黑" w:eastAsia="微软雅黑" w:cs="微软雅黑"/>
      <w:sz w:val="32"/>
      <w:szCs w:val="32"/>
      <w:shd w:val="clear" w:color="auto" w:fill="FFFFFF"/>
    </w:rPr>
  </w:style>
  <w:style w:type="paragraph" w:customStyle="1" w:styleId="163">
    <w:name w:val="正文文本 (2)"/>
    <w:basedOn w:val="1"/>
    <w:link w:val="162"/>
    <w:qFormat/>
    <w:uiPriority w:val="0"/>
    <w:pPr>
      <w:shd w:val="clear" w:color="auto" w:fill="FFFFFF"/>
      <w:spacing w:line="557" w:lineRule="exact"/>
      <w:jc w:val="distribute"/>
    </w:pPr>
    <w:rPr>
      <w:rFonts w:ascii="微软雅黑" w:hAnsi="微软雅黑" w:eastAsia="微软雅黑" w:cs="微软雅黑"/>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63603-887C-4F1F-ACAD-6191C45780E5}">
  <ds:schemaRefs/>
</ds:datastoreItem>
</file>

<file path=docProps/app.xml><?xml version="1.0" encoding="utf-8"?>
<Properties xmlns="http://schemas.openxmlformats.org/officeDocument/2006/extended-properties" xmlns:vt="http://schemas.openxmlformats.org/officeDocument/2006/docPropsVTypes">
  <Template>Normal</Template>
  <Pages>8</Pages>
  <Words>619</Words>
  <Characters>3530</Characters>
  <Lines>29</Lines>
  <Paragraphs>8</Paragraphs>
  <TotalTime>4</TotalTime>
  <ScaleCrop>false</ScaleCrop>
  <LinksUpToDate>false</LinksUpToDate>
  <CharactersWithSpaces>4141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2020-10-23T01:55:00Z</dcterms:created>
  <dc:creator>admin</dc:creator>
  <cp:lastModifiedBy>旖旎</cp:lastModifiedBy>
  <cp:lastPrinted>2020-12-02T08:05:00Z</cp:lastPrinted>
  <dcterms:modified xsi:type="dcterms:W3CDTF">2020-12-03T08:03:53Z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